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8C" w:rsidRDefault="002C5A8C" w:rsidP="002C5A8C">
      <w:pPr>
        <w:spacing w:after="0" w:line="240" w:lineRule="auto"/>
        <w:ind w:right="-568"/>
        <w:jc w:val="center"/>
        <w:rPr>
          <w:rFonts w:ascii="Arial Black" w:hAnsi="Arial Black"/>
          <w:b/>
          <w:sz w:val="24"/>
          <w:szCs w:val="24"/>
        </w:rPr>
      </w:pPr>
      <w:r>
        <w:rPr>
          <w:rFonts w:ascii="Arial Black" w:hAnsi="Arial Black"/>
          <w:b/>
          <w:sz w:val="24"/>
          <w:szCs w:val="24"/>
        </w:rPr>
        <w:t>MODELO DE PETIÇÃO</w:t>
      </w:r>
    </w:p>
    <w:p w:rsidR="00656C3E" w:rsidRDefault="00274505" w:rsidP="002C5A8C">
      <w:pPr>
        <w:pStyle w:val="Ttulo"/>
        <w:spacing w:before="0" w:after="0" w:line="240" w:lineRule="auto"/>
        <w:ind w:right="-568"/>
        <w:rPr>
          <w:rFonts w:ascii="Arial Black" w:hAnsi="Arial Black" w:cs="Times New Roman"/>
          <w:color w:val="auto"/>
          <w:sz w:val="24"/>
          <w:szCs w:val="24"/>
        </w:rPr>
      </w:pPr>
      <w:r w:rsidRPr="002C5A8C">
        <w:rPr>
          <w:rFonts w:ascii="Arial Black" w:hAnsi="Arial Black" w:cs="Times New Roman"/>
          <w:color w:val="auto"/>
          <w:sz w:val="24"/>
          <w:szCs w:val="24"/>
        </w:rPr>
        <w:t>FALÊNCIA. ALIENAÇÃO DO ATIVO ARRECADADO</w:t>
      </w:r>
    </w:p>
    <w:p w:rsidR="00656C3E" w:rsidRPr="00525CA6" w:rsidRDefault="00525CA6" w:rsidP="00525CA6">
      <w:pPr>
        <w:ind w:right="-568"/>
        <w:jc w:val="right"/>
        <w:rPr>
          <w:rFonts w:ascii="Arial Black" w:hAnsi="Arial Black" w:cs="Times New Roman"/>
          <w:sz w:val="24"/>
          <w:szCs w:val="24"/>
        </w:rPr>
      </w:pPr>
      <w:r>
        <w:rPr>
          <w:rFonts w:ascii="Arial Black" w:hAnsi="Arial Black" w:cs="Times New Roman"/>
          <w:sz w:val="24"/>
          <w:szCs w:val="24"/>
        </w:rPr>
        <w:t>Rénan Kfuri Lopes</w:t>
      </w:r>
      <w:bookmarkStart w:id="0" w:name="_GoBack"/>
      <w:bookmarkEnd w:id="0"/>
    </w:p>
    <w:p w:rsidR="003E4FDF" w:rsidRPr="004107DD" w:rsidRDefault="00656C3E" w:rsidP="002C5A8C">
      <w:pPr>
        <w:pStyle w:val="Texto"/>
        <w:spacing w:line="240" w:lineRule="auto"/>
        <w:ind w:right="-568"/>
        <w:rPr>
          <w:rFonts w:ascii="Times New Roman" w:hAnsi="Times New Roman" w:cs="Times New Roman"/>
          <w:sz w:val="24"/>
          <w:szCs w:val="24"/>
        </w:rPr>
      </w:pPr>
      <w:r w:rsidRPr="00F51324">
        <w:rPr>
          <w:rFonts w:ascii="Times New Roman" w:hAnsi="Times New Roman" w:cs="Times New Roman"/>
          <w:sz w:val="24"/>
          <w:szCs w:val="24"/>
          <w:u w:val="single"/>
        </w:rPr>
        <w:t>COMENTÁRIOS</w:t>
      </w:r>
      <w:r w:rsidR="00F51324">
        <w:rPr>
          <w:rFonts w:ascii="Times New Roman" w:hAnsi="Times New Roman" w:cs="Times New Roman"/>
          <w:sz w:val="24"/>
          <w:szCs w:val="24"/>
        </w:rPr>
        <w:t>:</w:t>
      </w:r>
    </w:p>
    <w:p w:rsidR="00656C3E" w:rsidRPr="004107DD" w:rsidRDefault="00656C3E" w:rsidP="002C5A8C">
      <w:pPr>
        <w:pStyle w:val="Comentrios"/>
        <w:spacing w:line="240" w:lineRule="auto"/>
        <w:ind w:left="0" w:right="-568"/>
        <w:rPr>
          <w:rFonts w:ascii="Times New Roman" w:hAnsi="Times New Roman" w:cs="Times New Roman"/>
          <w:sz w:val="24"/>
          <w:szCs w:val="24"/>
        </w:rPr>
      </w:pPr>
      <w:r w:rsidRPr="004107DD">
        <w:rPr>
          <w:rFonts w:ascii="Times New Roman" w:hAnsi="Times New Roman" w:cs="Times New Roman"/>
          <w:spacing w:val="2"/>
          <w:sz w:val="24"/>
          <w:szCs w:val="24"/>
        </w:rPr>
        <w:t>- O art. 142 prevê 03 modalidades de venda: I – leilão, por lances orais; II – propostas fechadas e III – pregão.</w:t>
      </w:r>
    </w:p>
    <w:p w:rsidR="00656C3E" w:rsidRPr="004107DD" w:rsidRDefault="00F51324" w:rsidP="002C5A8C">
      <w:pPr>
        <w:pStyle w:val="Comentrios"/>
        <w:spacing w:line="240" w:lineRule="auto"/>
        <w:ind w:left="0" w:right="-568"/>
        <w:rPr>
          <w:rFonts w:ascii="Times New Roman" w:hAnsi="Times New Roman" w:cs="Times New Roman"/>
          <w:sz w:val="24"/>
          <w:szCs w:val="24"/>
        </w:rPr>
      </w:pPr>
      <w:r>
        <w:rPr>
          <w:rFonts w:ascii="Times New Roman" w:hAnsi="Times New Roman" w:cs="Times New Roman"/>
          <w:sz w:val="24"/>
          <w:szCs w:val="24"/>
        </w:rPr>
        <w:t>- Na petição o interessante é apontar uma dentre as</w:t>
      </w:r>
      <w:r w:rsidR="00656C3E" w:rsidRPr="004107DD">
        <w:rPr>
          <w:rFonts w:ascii="Times New Roman" w:hAnsi="Times New Roman" w:cs="Times New Roman"/>
          <w:sz w:val="24"/>
          <w:szCs w:val="24"/>
        </w:rPr>
        <w:t xml:space="preserve"> modalidades previstas nos incisos I, II e III do art. 142.</w:t>
      </w:r>
    </w:p>
    <w:p w:rsidR="00656C3E" w:rsidRPr="004107DD" w:rsidRDefault="00656C3E" w:rsidP="002C5A8C">
      <w:pPr>
        <w:pStyle w:val="Comentrios"/>
        <w:spacing w:line="240" w:lineRule="auto"/>
        <w:ind w:left="0" w:right="-568"/>
        <w:rPr>
          <w:rFonts w:ascii="Times New Roman" w:hAnsi="Times New Roman" w:cs="Times New Roman"/>
          <w:sz w:val="24"/>
          <w:szCs w:val="24"/>
        </w:rPr>
      </w:pPr>
      <w:r w:rsidRPr="004107DD">
        <w:rPr>
          <w:rFonts w:ascii="Times New Roman" w:hAnsi="Times New Roman" w:cs="Times New Roman"/>
          <w:sz w:val="24"/>
          <w:szCs w:val="24"/>
        </w:rPr>
        <w:t>- O “</w:t>
      </w:r>
      <w:r w:rsidRPr="00656C3E">
        <w:rPr>
          <w:rFonts w:ascii="Times New Roman" w:hAnsi="Times New Roman" w:cs="Times New Roman"/>
          <w:i/>
          <w:sz w:val="24"/>
          <w:szCs w:val="24"/>
        </w:rPr>
        <w:t>leilão</w:t>
      </w:r>
      <w:r w:rsidRPr="004107DD">
        <w:rPr>
          <w:rFonts w:ascii="Times New Roman" w:hAnsi="Times New Roman" w:cs="Times New Roman"/>
          <w:sz w:val="24"/>
          <w:szCs w:val="24"/>
        </w:rPr>
        <w:t>” é a venda realizada em hasta pública judicial, em que os lançadores, de viva voz, apresentam os lances dos valores que estão dispostos a pagar. “</w:t>
      </w:r>
      <w:r w:rsidRPr="00656C3E">
        <w:rPr>
          <w:rFonts w:ascii="Times New Roman" w:hAnsi="Times New Roman" w:cs="Times New Roman"/>
          <w:i/>
          <w:sz w:val="24"/>
          <w:szCs w:val="24"/>
        </w:rPr>
        <w:t>Venda por proposta</w:t>
      </w:r>
      <w:r w:rsidRPr="004107DD">
        <w:rPr>
          <w:rFonts w:ascii="Times New Roman" w:hAnsi="Times New Roman" w:cs="Times New Roman"/>
          <w:sz w:val="24"/>
          <w:szCs w:val="24"/>
        </w:rPr>
        <w:t>” se faz mediante a entrega em cartório, pelos interessados, do preço que estão dispostos a pagar pelos bens, através de envelope lacrado. No dia, hora e local designados pelo edital, o juiz abre os envelopes e decide qual a vencedora. O “</w:t>
      </w:r>
      <w:r w:rsidRPr="00656C3E">
        <w:rPr>
          <w:rFonts w:ascii="Times New Roman" w:hAnsi="Times New Roman" w:cs="Times New Roman"/>
          <w:i/>
          <w:sz w:val="24"/>
          <w:szCs w:val="24"/>
        </w:rPr>
        <w:t>pregão</w:t>
      </w:r>
      <w:r w:rsidRPr="004107DD">
        <w:rPr>
          <w:rFonts w:ascii="Times New Roman" w:hAnsi="Times New Roman" w:cs="Times New Roman"/>
          <w:sz w:val="24"/>
          <w:szCs w:val="24"/>
        </w:rPr>
        <w:t>” consiste na combinação das duas modalidades anteriores. A venda inicia-se com a apresentação, em envelopes lacrados das propostas. Conhecidas estas propostas, prossegue-se com aqueles que ofertaram o valor não inferior a 90% da maior oferta. Daí em diante, o vencedor será aquele que, de viva voz, no leilão designado, apresentar a melhor proposta. Caso ausente o melhor proponente na etapa do leilão, qualquer dos demais proponentes legitimados ao leilão pode dar como lance inicial o preço idêntico ao da melhor proposta. Se frustrado o leilão, continuará válida a proposta apresentada em envelope lacrado.</w:t>
      </w:r>
    </w:p>
    <w:p w:rsidR="00F51324" w:rsidRDefault="00F51324" w:rsidP="002C5A8C">
      <w:pPr>
        <w:pStyle w:val="Texto"/>
        <w:spacing w:line="240" w:lineRule="auto"/>
        <w:ind w:right="-568"/>
        <w:rPr>
          <w:rFonts w:ascii="Times New Roman" w:hAnsi="Times New Roman" w:cs="Times New Roman"/>
          <w:sz w:val="24"/>
          <w:szCs w:val="24"/>
        </w:rPr>
      </w:pPr>
    </w:p>
    <w:p w:rsidR="00656C3E" w:rsidRPr="004107DD" w:rsidRDefault="00656C3E" w:rsidP="002C5A8C">
      <w:pPr>
        <w:pStyle w:val="Texto"/>
        <w:spacing w:line="240" w:lineRule="auto"/>
        <w:ind w:right="-568"/>
        <w:rPr>
          <w:rFonts w:ascii="Times New Roman" w:hAnsi="Times New Roman" w:cs="Times New Roman"/>
          <w:sz w:val="24"/>
          <w:szCs w:val="24"/>
        </w:rPr>
      </w:pPr>
      <w:r w:rsidRPr="004107DD">
        <w:rPr>
          <w:rFonts w:ascii="Times New Roman" w:hAnsi="Times New Roman" w:cs="Times New Roman"/>
          <w:sz w:val="24"/>
          <w:szCs w:val="24"/>
        </w:rPr>
        <w:t xml:space="preserve">Exmo. Sr. Dr. Juiz de Direito da Vara de Recuperação Judicial e Falências da Comarca </w:t>
      </w:r>
      <w:proofErr w:type="gramStart"/>
      <w:r w:rsidRPr="004107DD">
        <w:rPr>
          <w:rFonts w:ascii="Times New Roman" w:hAnsi="Times New Roman" w:cs="Times New Roman"/>
          <w:sz w:val="24"/>
          <w:szCs w:val="24"/>
        </w:rPr>
        <w:t>de ...</w:t>
      </w:r>
      <w:proofErr w:type="gramEnd"/>
    </w:p>
    <w:p w:rsidR="00656C3E" w:rsidRPr="004107DD" w:rsidRDefault="00656C3E" w:rsidP="002C5A8C">
      <w:pPr>
        <w:pStyle w:val="Texto"/>
        <w:spacing w:line="240" w:lineRule="auto"/>
        <w:ind w:right="-568"/>
        <w:rPr>
          <w:rFonts w:ascii="Times New Roman" w:hAnsi="Times New Roman" w:cs="Times New Roman"/>
          <w:sz w:val="24"/>
          <w:szCs w:val="24"/>
        </w:rPr>
      </w:pPr>
    </w:p>
    <w:p w:rsidR="00656C3E" w:rsidRPr="004107DD" w:rsidRDefault="00656C3E" w:rsidP="002C5A8C">
      <w:pPr>
        <w:pStyle w:val="Texto"/>
        <w:spacing w:line="240" w:lineRule="auto"/>
        <w:ind w:right="-568"/>
        <w:rPr>
          <w:rFonts w:ascii="Times New Roman" w:hAnsi="Times New Roman" w:cs="Times New Roman"/>
          <w:sz w:val="24"/>
          <w:szCs w:val="24"/>
        </w:rPr>
      </w:pPr>
      <w:r w:rsidRPr="004107DD">
        <w:rPr>
          <w:rFonts w:ascii="Times New Roman" w:hAnsi="Times New Roman" w:cs="Times New Roman"/>
          <w:sz w:val="24"/>
          <w:szCs w:val="24"/>
        </w:rPr>
        <w:t xml:space="preserve">Falência </w:t>
      </w:r>
      <w:proofErr w:type="gramStart"/>
      <w:r w:rsidRPr="004107DD">
        <w:rPr>
          <w:rFonts w:ascii="Times New Roman" w:hAnsi="Times New Roman" w:cs="Times New Roman"/>
          <w:sz w:val="24"/>
          <w:szCs w:val="24"/>
        </w:rPr>
        <w:t>n. ...</w:t>
      </w:r>
      <w:proofErr w:type="gramEnd"/>
    </w:p>
    <w:p w:rsidR="00656C3E" w:rsidRPr="004107DD" w:rsidRDefault="00656C3E" w:rsidP="002C5A8C">
      <w:pPr>
        <w:pStyle w:val="Texto"/>
        <w:spacing w:line="240" w:lineRule="auto"/>
        <w:ind w:right="-568"/>
        <w:rPr>
          <w:rFonts w:ascii="Times New Roman" w:hAnsi="Times New Roman" w:cs="Times New Roman"/>
          <w:sz w:val="24"/>
          <w:szCs w:val="24"/>
        </w:rPr>
      </w:pPr>
    </w:p>
    <w:p w:rsidR="00656C3E" w:rsidRPr="004107DD" w:rsidRDefault="00656C3E" w:rsidP="002C5A8C">
      <w:pPr>
        <w:pStyle w:val="Texto"/>
        <w:spacing w:line="240" w:lineRule="auto"/>
        <w:ind w:right="-568"/>
        <w:rPr>
          <w:rFonts w:ascii="Times New Roman" w:hAnsi="Times New Roman" w:cs="Times New Roman"/>
          <w:sz w:val="24"/>
          <w:szCs w:val="24"/>
        </w:rPr>
      </w:pPr>
      <w:r w:rsidRPr="004107DD">
        <w:rPr>
          <w:rFonts w:ascii="Times New Roman" w:hAnsi="Times New Roman" w:cs="Times New Roman"/>
          <w:sz w:val="24"/>
          <w:szCs w:val="24"/>
        </w:rPr>
        <w:t xml:space="preserve">(LEGITIMIDADE: Administrador Judicial e Credor), por seu advogado </w:t>
      </w:r>
      <w:r w:rsidRPr="004107DD">
        <w:rPr>
          <w:rFonts w:ascii="Times New Roman" w:hAnsi="Times New Roman" w:cs="Times New Roman"/>
          <w:i/>
          <w:iCs/>
          <w:sz w:val="24"/>
          <w:szCs w:val="24"/>
        </w:rPr>
        <w:t xml:space="preserve">in fine </w:t>
      </w:r>
      <w:r w:rsidRPr="004107DD">
        <w:rPr>
          <w:rFonts w:ascii="Times New Roman" w:hAnsi="Times New Roman" w:cs="Times New Roman"/>
          <w:sz w:val="24"/>
          <w:szCs w:val="24"/>
        </w:rPr>
        <w:t xml:space="preserve">assinado, </w:t>
      </w:r>
      <w:r w:rsidRPr="004107DD">
        <w:rPr>
          <w:rFonts w:ascii="Times New Roman" w:hAnsi="Times New Roman" w:cs="Times New Roman"/>
          <w:i/>
          <w:sz w:val="24"/>
          <w:szCs w:val="24"/>
        </w:rPr>
        <w:t xml:space="preserve">ut </w:t>
      </w:r>
      <w:r w:rsidRPr="004107DD">
        <w:rPr>
          <w:rFonts w:ascii="Times New Roman" w:hAnsi="Times New Roman" w:cs="Times New Roman"/>
          <w:sz w:val="24"/>
          <w:szCs w:val="24"/>
        </w:rPr>
        <w:t xml:space="preserve">instrumento de procuração em anexo (doc. </w:t>
      </w:r>
      <w:proofErr w:type="gramStart"/>
      <w:r w:rsidRPr="004107DD">
        <w:rPr>
          <w:rFonts w:ascii="Times New Roman" w:hAnsi="Times New Roman" w:cs="Times New Roman"/>
          <w:sz w:val="24"/>
          <w:szCs w:val="24"/>
        </w:rPr>
        <w:t>n. ...</w:t>
      </w:r>
      <w:proofErr w:type="gramEnd"/>
      <w:r w:rsidRPr="004107DD">
        <w:rPr>
          <w:rFonts w:ascii="Times New Roman" w:hAnsi="Times New Roman" w:cs="Times New Roman"/>
          <w:sz w:val="24"/>
          <w:szCs w:val="24"/>
        </w:rPr>
        <w:t xml:space="preserve">), nos epigrafados da falência de ..., vem, respeitosamente, com fulcro no inciso ... </w:t>
      </w:r>
      <w:proofErr w:type="gramStart"/>
      <w:r w:rsidRPr="004107DD">
        <w:rPr>
          <w:rFonts w:ascii="Times New Roman" w:hAnsi="Times New Roman" w:cs="Times New Roman"/>
          <w:sz w:val="24"/>
          <w:szCs w:val="24"/>
        </w:rPr>
        <w:t>do</w:t>
      </w:r>
      <w:proofErr w:type="gramEnd"/>
      <w:r w:rsidRPr="004107DD">
        <w:rPr>
          <w:rFonts w:ascii="Times New Roman" w:hAnsi="Times New Roman" w:cs="Times New Roman"/>
          <w:sz w:val="24"/>
          <w:szCs w:val="24"/>
        </w:rPr>
        <w:t xml:space="preserve"> art. 142 da Lei 11.101 de 09.02.05</w:t>
      </w:r>
      <w:r w:rsidRPr="004107DD">
        <w:rPr>
          <w:rFonts w:ascii="Times New Roman" w:hAnsi="Times New Roman" w:cs="Times New Roman"/>
          <w:sz w:val="24"/>
          <w:szCs w:val="24"/>
          <w:vertAlign w:val="superscript"/>
        </w:rPr>
        <w:footnoteReference w:id="1"/>
      </w:r>
      <w:r w:rsidRPr="004107DD">
        <w:rPr>
          <w:rFonts w:ascii="Times New Roman" w:hAnsi="Times New Roman" w:cs="Times New Roman"/>
          <w:sz w:val="24"/>
          <w:szCs w:val="24"/>
        </w:rPr>
        <w:t xml:space="preserve">, requerer a alienação do ativo da mencionada empresa, na modalidade de ... , pelo que passa a aduzir: </w:t>
      </w:r>
    </w:p>
    <w:p w:rsidR="00656C3E" w:rsidRPr="004107DD" w:rsidRDefault="00656C3E" w:rsidP="002C5A8C">
      <w:pPr>
        <w:pStyle w:val="Texto"/>
        <w:spacing w:line="240" w:lineRule="auto"/>
        <w:ind w:right="-568"/>
        <w:rPr>
          <w:rFonts w:ascii="Times New Roman" w:hAnsi="Times New Roman" w:cs="Times New Roman"/>
          <w:sz w:val="24"/>
          <w:szCs w:val="24"/>
        </w:rPr>
      </w:pPr>
    </w:p>
    <w:p w:rsidR="00656C3E" w:rsidRPr="004107DD" w:rsidRDefault="00656C3E" w:rsidP="002C5A8C">
      <w:pPr>
        <w:pStyle w:val="Texto"/>
        <w:spacing w:line="240" w:lineRule="auto"/>
        <w:ind w:right="-568"/>
        <w:rPr>
          <w:rFonts w:ascii="Times New Roman" w:hAnsi="Times New Roman" w:cs="Times New Roman"/>
          <w:sz w:val="24"/>
          <w:szCs w:val="24"/>
        </w:rPr>
      </w:pPr>
      <w:r w:rsidRPr="004107DD">
        <w:rPr>
          <w:rFonts w:ascii="Times New Roman" w:hAnsi="Times New Roman" w:cs="Times New Roman"/>
          <w:sz w:val="24"/>
          <w:szCs w:val="24"/>
        </w:rPr>
        <w:t xml:space="preserve">1. Adentrando </w:t>
      </w:r>
      <w:proofErr w:type="gramStart"/>
      <w:r w:rsidRPr="004107DD">
        <w:rPr>
          <w:rFonts w:ascii="Times New Roman" w:hAnsi="Times New Roman" w:cs="Times New Roman"/>
          <w:sz w:val="24"/>
          <w:szCs w:val="24"/>
        </w:rPr>
        <w:t>à</w:t>
      </w:r>
      <w:proofErr w:type="gramEnd"/>
      <w:r w:rsidRPr="004107DD">
        <w:rPr>
          <w:rFonts w:ascii="Times New Roman" w:hAnsi="Times New Roman" w:cs="Times New Roman"/>
          <w:sz w:val="24"/>
          <w:szCs w:val="24"/>
        </w:rPr>
        <w:t xml:space="preserve"> fase de realização do ativo, mister proceder-se à alienação dos bens arrecadados pela administração, relacionados e avaliados no auto de arrecadação de fls. ...</w:t>
      </w:r>
    </w:p>
    <w:p w:rsidR="00656C3E" w:rsidRPr="004107DD" w:rsidRDefault="00656C3E" w:rsidP="002C5A8C">
      <w:pPr>
        <w:pStyle w:val="Texto"/>
        <w:spacing w:line="240" w:lineRule="auto"/>
        <w:ind w:right="-568"/>
        <w:rPr>
          <w:rFonts w:ascii="Times New Roman" w:hAnsi="Times New Roman" w:cs="Times New Roman"/>
          <w:sz w:val="24"/>
          <w:szCs w:val="24"/>
        </w:rPr>
      </w:pPr>
    </w:p>
    <w:p w:rsidR="00656C3E" w:rsidRPr="004107DD" w:rsidRDefault="00656C3E" w:rsidP="002C5A8C">
      <w:pPr>
        <w:pStyle w:val="Texto"/>
        <w:spacing w:line="240" w:lineRule="auto"/>
        <w:ind w:right="-568"/>
        <w:rPr>
          <w:rFonts w:ascii="Times New Roman" w:hAnsi="Times New Roman" w:cs="Times New Roman"/>
          <w:sz w:val="24"/>
          <w:szCs w:val="24"/>
        </w:rPr>
      </w:pPr>
      <w:r w:rsidRPr="004107DD">
        <w:rPr>
          <w:rFonts w:ascii="Times New Roman" w:hAnsi="Times New Roman" w:cs="Times New Roman"/>
          <w:sz w:val="24"/>
          <w:szCs w:val="24"/>
        </w:rPr>
        <w:t xml:space="preserve">2. </w:t>
      </w:r>
      <w:proofErr w:type="spellStart"/>
      <w:r w:rsidRPr="004107DD">
        <w:rPr>
          <w:rFonts w:ascii="Times New Roman" w:hAnsi="Times New Roman" w:cs="Times New Roman"/>
          <w:b/>
          <w:i/>
          <w:sz w:val="24"/>
          <w:szCs w:val="24"/>
        </w:rPr>
        <w:t>Ex</w:t>
      </w:r>
      <w:proofErr w:type="spellEnd"/>
      <w:r w:rsidRPr="004107DD">
        <w:rPr>
          <w:rFonts w:ascii="Times New Roman" w:hAnsi="Times New Roman" w:cs="Times New Roman"/>
          <w:b/>
          <w:i/>
          <w:sz w:val="24"/>
          <w:szCs w:val="24"/>
        </w:rPr>
        <w:t xml:space="preserve"> positis</w:t>
      </w:r>
      <w:r w:rsidRPr="004107DD">
        <w:rPr>
          <w:rFonts w:ascii="Times New Roman" w:hAnsi="Times New Roman" w:cs="Times New Roman"/>
          <w:sz w:val="24"/>
          <w:szCs w:val="24"/>
        </w:rPr>
        <w:t xml:space="preserve">, o Administrador Judicial </w:t>
      </w:r>
      <w:r w:rsidR="003E4FDF" w:rsidRPr="003E4FDF">
        <w:rPr>
          <w:rFonts w:ascii="Times New Roman" w:hAnsi="Times New Roman" w:cs="Times New Roman"/>
          <w:sz w:val="24"/>
          <w:szCs w:val="24"/>
        </w:rPr>
        <w:t>requer</w:t>
      </w:r>
      <w:r w:rsidRPr="004107DD">
        <w:rPr>
          <w:rFonts w:ascii="Times New Roman" w:hAnsi="Times New Roman" w:cs="Times New Roman"/>
          <w:sz w:val="24"/>
          <w:szCs w:val="24"/>
        </w:rPr>
        <w:t>:</w:t>
      </w:r>
    </w:p>
    <w:p w:rsidR="00656C3E" w:rsidRPr="004107DD" w:rsidRDefault="00656C3E" w:rsidP="002C5A8C">
      <w:pPr>
        <w:pStyle w:val="Texto"/>
        <w:spacing w:line="240" w:lineRule="auto"/>
        <w:ind w:right="-568"/>
        <w:rPr>
          <w:rFonts w:ascii="Times New Roman" w:hAnsi="Times New Roman" w:cs="Times New Roman"/>
          <w:sz w:val="24"/>
          <w:szCs w:val="24"/>
        </w:rPr>
      </w:pPr>
    </w:p>
    <w:p w:rsidR="00656C3E" w:rsidRPr="004107DD" w:rsidRDefault="00656C3E" w:rsidP="002C5A8C">
      <w:pPr>
        <w:pStyle w:val="Texto"/>
        <w:spacing w:line="240" w:lineRule="auto"/>
        <w:ind w:right="-568"/>
        <w:rPr>
          <w:rFonts w:ascii="Times New Roman" w:hAnsi="Times New Roman" w:cs="Times New Roman"/>
          <w:sz w:val="24"/>
          <w:szCs w:val="24"/>
        </w:rPr>
      </w:pPr>
      <w:r w:rsidRPr="004107DD">
        <w:rPr>
          <w:rFonts w:ascii="Times New Roman" w:hAnsi="Times New Roman" w:cs="Times New Roman"/>
          <w:sz w:val="24"/>
          <w:szCs w:val="24"/>
        </w:rPr>
        <w:t xml:space="preserve">a) </w:t>
      </w:r>
      <w:proofErr w:type="gramStart"/>
      <w:r w:rsidRPr="004107DD">
        <w:rPr>
          <w:rFonts w:ascii="Times New Roman" w:hAnsi="Times New Roman" w:cs="Times New Roman"/>
          <w:sz w:val="24"/>
          <w:szCs w:val="24"/>
        </w:rPr>
        <w:t>após</w:t>
      </w:r>
      <w:proofErr w:type="gramEnd"/>
      <w:r w:rsidRPr="004107DD">
        <w:rPr>
          <w:rFonts w:ascii="Times New Roman" w:hAnsi="Times New Roman" w:cs="Times New Roman"/>
          <w:sz w:val="24"/>
          <w:szCs w:val="24"/>
        </w:rPr>
        <w:t xml:space="preserve"> ouvido o Comitê de Credores (se houver), seja deferida a alienação dos bens arrecadados, relacionados e avaliados no auto de arrecadação, pela modalidade de ...;</w:t>
      </w:r>
    </w:p>
    <w:p w:rsidR="00656C3E" w:rsidRPr="004107DD" w:rsidRDefault="00656C3E" w:rsidP="002C5A8C">
      <w:pPr>
        <w:pStyle w:val="Texto"/>
        <w:spacing w:line="240" w:lineRule="auto"/>
        <w:ind w:right="-568"/>
        <w:rPr>
          <w:rFonts w:ascii="Times New Roman" w:hAnsi="Times New Roman" w:cs="Times New Roman"/>
          <w:sz w:val="24"/>
          <w:szCs w:val="24"/>
        </w:rPr>
      </w:pPr>
    </w:p>
    <w:p w:rsidR="00656C3E" w:rsidRPr="004107DD" w:rsidRDefault="00656C3E" w:rsidP="002C5A8C">
      <w:pPr>
        <w:pStyle w:val="Texto"/>
        <w:spacing w:line="240" w:lineRule="auto"/>
        <w:ind w:right="-568"/>
        <w:rPr>
          <w:rFonts w:ascii="Times New Roman" w:hAnsi="Times New Roman" w:cs="Times New Roman"/>
          <w:sz w:val="24"/>
          <w:szCs w:val="24"/>
        </w:rPr>
      </w:pPr>
      <w:r w:rsidRPr="004107DD">
        <w:rPr>
          <w:rFonts w:ascii="Times New Roman" w:hAnsi="Times New Roman" w:cs="Times New Roman"/>
          <w:sz w:val="24"/>
          <w:szCs w:val="24"/>
        </w:rPr>
        <w:t>b) a publicação de edital em jornal de ampla circulação, com 15 dias de antecedência, em se tratando de móveis (ou de 30 dias se a alienação for da empresa ou de bens imóveis), facultando-se a divulgação por outros meios, para amplo conhecimento da venda (art.142 § 1º);</w:t>
      </w:r>
    </w:p>
    <w:p w:rsidR="00656C3E" w:rsidRPr="004107DD" w:rsidRDefault="00656C3E" w:rsidP="002C5A8C">
      <w:pPr>
        <w:pStyle w:val="Texto"/>
        <w:spacing w:line="240" w:lineRule="auto"/>
        <w:ind w:right="-568"/>
        <w:rPr>
          <w:rFonts w:ascii="Times New Roman" w:hAnsi="Times New Roman" w:cs="Times New Roman"/>
          <w:sz w:val="24"/>
          <w:szCs w:val="24"/>
        </w:rPr>
      </w:pPr>
    </w:p>
    <w:p w:rsidR="00656C3E" w:rsidRPr="004107DD" w:rsidRDefault="00656C3E" w:rsidP="002C5A8C">
      <w:pPr>
        <w:pStyle w:val="Texto"/>
        <w:spacing w:line="240" w:lineRule="auto"/>
        <w:ind w:right="-568"/>
        <w:rPr>
          <w:rFonts w:ascii="Times New Roman" w:hAnsi="Times New Roman" w:cs="Times New Roman"/>
          <w:sz w:val="24"/>
          <w:szCs w:val="24"/>
        </w:rPr>
      </w:pPr>
      <w:r w:rsidRPr="004107DD">
        <w:rPr>
          <w:rFonts w:ascii="Times New Roman" w:hAnsi="Times New Roman" w:cs="Times New Roman"/>
          <w:sz w:val="24"/>
          <w:szCs w:val="24"/>
        </w:rPr>
        <w:t>c) o produto recebido pela massa falida será depositado em conta remunerada à disposição do juízo (art. 147).</w:t>
      </w:r>
    </w:p>
    <w:p w:rsidR="00656C3E" w:rsidRPr="004107DD" w:rsidRDefault="00656C3E" w:rsidP="002C5A8C">
      <w:pPr>
        <w:pStyle w:val="Centralizado"/>
        <w:spacing w:line="240" w:lineRule="auto"/>
        <w:ind w:right="-568"/>
        <w:rPr>
          <w:rFonts w:ascii="Times New Roman" w:hAnsi="Times New Roman" w:cs="Times New Roman"/>
          <w:sz w:val="24"/>
          <w:szCs w:val="24"/>
        </w:rPr>
      </w:pPr>
    </w:p>
    <w:p w:rsidR="00656C3E" w:rsidRPr="004107DD" w:rsidRDefault="00656C3E" w:rsidP="002C5A8C">
      <w:pPr>
        <w:pStyle w:val="Centralizado"/>
        <w:spacing w:line="240" w:lineRule="auto"/>
        <w:ind w:right="-568"/>
        <w:rPr>
          <w:rFonts w:ascii="Times New Roman" w:hAnsi="Times New Roman" w:cs="Times New Roman"/>
          <w:sz w:val="24"/>
          <w:szCs w:val="24"/>
        </w:rPr>
      </w:pPr>
      <w:r w:rsidRPr="004107DD">
        <w:rPr>
          <w:rFonts w:ascii="Times New Roman" w:hAnsi="Times New Roman" w:cs="Times New Roman"/>
          <w:sz w:val="24"/>
          <w:szCs w:val="24"/>
        </w:rPr>
        <w:t>P. Deferimento.</w:t>
      </w:r>
    </w:p>
    <w:p w:rsidR="00656C3E" w:rsidRPr="004107DD" w:rsidRDefault="00656C3E" w:rsidP="002C5A8C">
      <w:pPr>
        <w:pStyle w:val="Centralizado"/>
        <w:spacing w:line="240" w:lineRule="auto"/>
        <w:ind w:right="-568"/>
        <w:rPr>
          <w:rFonts w:ascii="Times New Roman" w:hAnsi="Times New Roman" w:cs="Times New Roman"/>
          <w:sz w:val="24"/>
          <w:szCs w:val="24"/>
        </w:rPr>
      </w:pPr>
      <w:r w:rsidRPr="004107DD">
        <w:rPr>
          <w:rFonts w:ascii="Times New Roman" w:hAnsi="Times New Roman" w:cs="Times New Roman"/>
          <w:sz w:val="24"/>
          <w:szCs w:val="24"/>
        </w:rPr>
        <w:t>(Local e data)</w:t>
      </w:r>
    </w:p>
    <w:p w:rsidR="00656C3E" w:rsidRPr="004107DD" w:rsidRDefault="00656C3E" w:rsidP="002C5A8C">
      <w:pPr>
        <w:pStyle w:val="Centralizado"/>
        <w:spacing w:line="240" w:lineRule="auto"/>
        <w:ind w:right="-568"/>
        <w:rPr>
          <w:rFonts w:ascii="Times New Roman" w:hAnsi="Times New Roman" w:cs="Times New Roman"/>
          <w:sz w:val="24"/>
          <w:szCs w:val="24"/>
        </w:rPr>
      </w:pPr>
      <w:r w:rsidRPr="004107DD">
        <w:rPr>
          <w:rFonts w:ascii="Times New Roman" w:hAnsi="Times New Roman" w:cs="Times New Roman"/>
          <w:sz w:val="24"/>
          <w:szCs w:val="24"/>
        </w:rPr>
        <w:t>(Assinatura e OAB do Advogado)</w:t>
      </w:r>
    </w:p>
    <w:p w:rsidR="00B23BD1" w:rsidRDefault="00B23BD1" w:rsidP="002C5A8C">
      <w:pPr>
        <w:spacing w:after="0" w:line="240" w:lineRule="auto"/>
        <w:ind w:right="-568"/>
      </w:pPr>
    </w:p>
    <w:sectPr w:rsidR="00B23BD1" w:rsidSect="00955F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33" w:rsidRDefault="00302B33" w:rsidP="00656C3E">
      <w:pPr>
        <w:spacing w:after="0" w:line="240" w:lineRule="auto"/>
      </w:pPr>
      <w:r>
        <w:separator/>
      </w:r>
    </w:p>
  </w:endnote>
  <w:endnote w:type="continuationSeparator" w:id="0">
    <w:p w:rsidR="00302B33" w:rsidRDefault="00302B33" w:rsidP="0065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33" w:rsidRDefault="00302B33" w:rsidP="00656C3E">
      <w:pPr>
        <w:spacing w:after="0" w:line="240" w:lineRule="auto"/>
      </w:pPr>
      <w:r>
        <w:separator/>
      </w:r>
    </w:p>
  </w:footnote>
  <w:footnote w:type="continuationSeparator" w:id="0">
    <w:p w:rsidR="00302B33" w:rsidRDefault="00302B33" w:rsidP="00656C3E">
      <w:pPr>
        <w:spacing w:after="0" w:line="240" w:lineRule="auto"/>
      </w:pPr>
      <w:r>
        <w:continuationSeparator/>
      </w:r>
    </w:p>
  </w:footnote>
  <w:footnote w:id="1">
    <w:p w:rsidR="00656C3E" w:rsidRPr="004107DD" w:rsidRDefault="00656C3E" w:rsidP="002C5A8C">
      <w:pPr>
        <w:pStyle w:val="Rodap"/>
        <w:tabs>
          <w:tab w:val="clear" w:pos="8504"/>
          <w:tab w:val="left" w:pos="0"/>
        </w:tabs>
        <w:ind w:right="-568"/>
        <w:jc w:val="both"/>
        <w:rPr>
          <w:spacing w:val="2"/>
          <w:sz w:val="20"/>
          <w:szCs w:val="20"/>
        </w:rPr>
      </w:pPr>
      <w:r w:rsidRPr="004107DD">
        <w:rPr>
          <w:sz w:val="20"/>
          <w:szCs w:val="20"/>
          <w:vertAlign w:val="superscript"/>
        </w:rPr>
        <w:footnoteRef/>
      </w:r>
      <w:r w:rsidRPr="004107DD">
        <w:rPr>
          <w:b/>
          <w:bCs/>
          <w:sz w:val="20"/>
          <w:szCs w:val="20"/>
        </w:rPr>
        <w:t>Art. 142.</w:t>
      </w:r>
      <w:r w:rsidRPr="004107DD">
        <w:rPr>
          <w:sz w:val="20"/>
          <w:szCs w:val="20"/>
        </w:rPr>
        <w:t xml:space="preserve"> O juiz, ouvido o administrador judicial e atendendo à orientação do Comitê, se houver, ordenará que se proceda à alienação do ativo em uma das seguintes modalidades: </w:t>
      </w:r>
      <w:r w:rsidRPr="004107DD">
        <w:rPr>
          <w:b/>
          <w:sz w:val="20"/>
          <w:szCs w:val="20"/>
        </w:rPr>
        <w:t>I –</w:t>
      </w:r>
      <w:r w:rsidRPr="004107DD">
        <w:rPr>
          <w:sz w:val="20"/>
          <w:szCs w:val="20"/>
        </w:rPr>
        <w:t xml:space="preserve"> leilão, por lances orais; </w:t>
      </w:r>
      <w:r w:rsidRPr="004107DD">
        <w:rPr>
          <w:b/>
          <w:sz w:val="20"/>
          <w:szCs w:val="20"/>
        </w:rPr>
        <w:t>II –</w:t>
      </w:r>
      <w:r w:rsidRPr="004107DD">
        <w:rPr>
          <w:sz w:val="20"/>
          <w:szCs w:val="20"/>
        </w:rPr>
        <w:t xml:space="preserve"> propostas fechadas; </w:t>
      </w:r>
      <w:r w:rsidRPr="004107DD">
        <w:rPr>
          <w:b/>
          <w:sz w:val="20"/>
          <w:szCs w:val="20"/>
        </w:rPr>
        <w:t>III –</w:t>
      </w:r>
      <w:r w:rsidRPr="004107DD">
        <w:rPr>
          <w:sz w:val="20"/>
          <w:szCs w:val="20"/>
        </w:rPr>
        <w:t xml:space="preserve"> pregão </w:t>
      </w:r>
      <w:r w:rsidRPr="004107DD">
        <w:rPr>
          <w:b/>
          <w:sz w:val="20"/>
          <w:szCs w:val="20"/>
        </w:rPr>
        <w:t>§ 1</w:t>
      </w:r>
      <w:r w:rsidRPr="004107DD">
        <w:rPr>
          <w:b/>
          <w:sz w:val="20"/>
          <w:szCs w:val="20"/>
          <w:u w:color="000000"/>
        </w:rPr>
        <w:t>º</w:t>
      </w:r>
      <w:r w:rsidRPr="004107DD">
        <w:rPr>
          <w:sz w:val="20"/>
          <w:szCs w:val="20"/>
        </w:rPr>
        <w:t xml:space="preserve"> A realização da alienação em quaisquer das modalidades de que trata este artigo será antecedida por publicação de anúncio em jornal de ampla circulação, com 15 (quinze) dias de antecedência, em se tratando de bens móveis, e com 30 (trinta) dias na alienação da empresa ou de bens imóveis, facultada a divulgação por outros meios que contribuam para o amplo conhecimento da venda. </w:t>
      </w:r>
      <w:r w:rsidRPr="004107DD">
        <w:rPr>
          <w:b/>
          <w:sz w:val="20"/>
          <w:szCs w:val="20"/>
        </w:rPr>
        <w:t>§ 2</w:t>
      </w:r>
      <w:r w:rsidRPr="004107DD">
        <w:rPr>
          <w:b/>
          <w:sz w:val="20"/>
          <w:szCs w:val="20"/>
          <w:u w:color="000000"/>
        </w:rPr>
        <w:t>º</w:t>
      </w:r>
      <w:r w:rsidRPr="004107DD">
        <w:rPr>
          <w:sz w:val="20"/>
          <w:szCs w:val="20"/>
        </w:rPr>
        <w:t xml:space="preserve"> A alienação dar-se-á pelo maior valor oferecido, ainda que seja inferior ao valor de avaliação. </w:t>
      </w:r>
      <w:r w:rsidRPr="004107DD">
        <w:rPr>
          <w:b/>
          <w:sz w:val="20"/>
          <w:szCs w:val="20"/>
        </w:rPr>
        <w:t>§ 3</w:t>
      </w:r>
      <w:r w:rsidRPr="004107DD">
        <w:rPr>
          <w:b/>
          <w:sz w:val="20"/>
          <w:szCs w:val="20"/>
          <w:u w:color="000000"/>
        </w:rPr>
        <w:t>º</w:t>
      </w:r>
      <w:r w:rsidRPr="004107DD">
        <w:rPr>
          <w:sz w:val="20"/>
          <w:szCs w:val="20"/>
        </w:rPr>
        <w:t xml:space="preserve"> No leilão por lances orais, aplicam-se, no que </w:t>
      </w:r>
      <w:proofErr w:type="gramStart"/>
      <w:r w:rsidRPr="004107DD">
        <w:rPr>
          <w:sz w:val="20"/>
          <w:szCs w:val="20"/>
        </w:rPr>
        <w:t>couber</w:t>
      </w:r>
      <w:proofErr w:type="gramEnd"/>
      <w:r w:rsidRPr="004107DD">
        <w:rPr>
          <w:sz w:val="20"/>
          <w:szCs w:val="20"/>
        </w:rPr>
        <w:t xml:space="preserve">, as regras da </w:t>
      </w:r>
      <w:r w:rsidRPr="004107DD">
        <w:rPr>
          <w:color w:val="1A171B"/>
          <w:sz w:val="20"/>
          <w:szCs w:val="20"/>
          <w:u w:color="000000"/>
        </w:rPr>
        <w:t>Lei no 5.869, de 11 de janeiro de 1973</w:t>
      </w:r>
      <w:r w:rsidRPr="004107DD">
        <w:rPr>
          <w:sz w:val="20"/>
          <w:szCs w:val="20"/>
        </w:rPr>
        <w:t xml:space="preserve"> – Código de Processo Civil. </w:t>
      </w:r>
      <w:r w:rsidRPr="004107DD">
        <w:rPr>
          <w:b/>
          <w:sz w:val="20"/>
          <w:szCs w:val="20"/>
        </w:rPr>
        <w:t>§ 4</w:t>
      </w:r>
      <w:r w:rsidRPr="004107DD">
        <w:rPr>
          <w:b/>
          <w:sz w:val="20"/>
          <w:szCs w:val="20"/>
          <w:u w:color="000000"/>
        </w:rPr>
        <w:t>º</w:t>
      </w:r>
      <w:r w:rsidRPr="004107DD">
        <w:rPr>
          <w:sz w:val="20"/>
          <w:szCs w:val="20"/>
        </w:rPr>
        <w:t xml:space="preserve"> A alienação por propostas fechadas ocorrerá mediante a entrega, em cartório e </w:t>
      </w:r>
      <w:proofErr w:type="gramStart"/>
      <w:r w:rsidRPr="004107DD">
        <w:rPr>
          <w:sz w:val="20"/>
          <w:szCs w:val="20"/>
        </w:rPr>
        <w:t>sob recibo</w:t>
      </w:r>
      <w:proofErr w:type="gramEnd"/>
      <w:r w:rsidRPr="004107DD">
        <w:rPr>
          <w:sz w:val="20"/>
          <w:szCs w:val="20"/>
        </w:rPr>
        <w:t xml:space="preserve">, de envelopes lacrados, a serem abertos pelo juiz, no dia, hora e local designados no edital, lavrando o escrivão o auto respectivo, assinado pelos presentes, e juntando as propostas aos autos da falência. </w:t>
      </w:r>
      <w:r w:rsidRPr="004107DD">
        <w:rPr>
          <w:b/>
          <w:sz w:val="20"/>
          <w:szCs w:val="20"/>
        </w:rPr>
        <w:t>§ 5</w:t>
      </w:r>
      <w:r w:rsidRPr="004107DD">
        <w:rPr>
          <w:b/>
          <w:sz w:val="20"/>
          <w:szCs w:val="20"/>
          <w:u w:color="000000"/>
        </w:rPr>
        <w:t>º</w:t>
      </w:r>
      <w:r w:rsidRPr="004107DD">
        <w:rPr>
          <w:sz w:val="20"/>
          <w:szCs w:val="20"/>
        </w:rPr>
        <w:t xml:space="preserve"> A venda por pregão constitui modalidade híbrida das anteriores, comportando </w:t>
      </w:r>
      <w:proofErr w:type="gramStart"/>
      <w:r w:rsidRPr="004107DD">
        <w:rPr>
          <w:sz w:val="20"/>
          <w:szCs w:val="20"/>
        </w:rPr>
        <w:t>2</w:t>
      </w:r>
      <w:proofErr w:type="gramEnd"/>
      <w:r w:rsidRPr="004107DD">
        <w:rPr>
          <w:sz w:val="20"/>
          <w:szCs w:val="20"/>
        </w:rPr>
        <w:t xml:space="preserve"> (duas) fases: </w:t>
      </w:r>
      <w:r w:rsidRPr="004107DD">
        <w:rPr>
          <w:b/>
          <w:sz w:val="20"/>
          <w:szCs w:val="20"/>
        </w:rPr>
        <w:t>I –</w:t>
      </w:r>
      <w:r w:rsidRPr="004107DD">
        <w:rPr>
          <w:sz w:val="20"/>
          <w:szCs w:val="20"/>
        </w:rPr>
        <w:t xml:space="preserve"> recebimento de propostas, na forma do § 3</w:t>
      </w:r>
      <w:r w:rsidRPr="004107DD">
        <w:rPr>
          <w:sz w:val="20"/>
          <w:szCs w:val="20"/>
          <w:u w:color="000000"/>
        </w:rPr>
        <w:t>º</w:t>
      </w:r>
      <w:r w:rsidRPr="004107DD">
        <w:rPr>
          <w:sz w:val="20"/>
          <w:szCs w:val="20"/>
        </w:rPr>
        <w:t xml:space="preserve"> deste artigo; </w:t>
      </w:r>
      <w:r w:rsidRPr="004107DD">
        <w:rPr>
          <w:b/>
          <w:sz w:val="20"/>
          <w:szCs w:val="20"/>
        </w:rPr>
        <w:t>II –</w:t>
      </w:r>
      <w:r w:rsidRPr="004107DD">
        <w:rPr>
          <w:sz w:val="20"/>
          <w:szCs w:val="20"/>
        </w:rPr>
        <w:t xml:space="preserve"> leilão por lances orais, de que participarão somente aqueles que apresentarem propostas não inferiores a 90% (noventa por cento) da maior proposta ofertada, na forma do § 2</w:t>
      </w:r>
      <w:r w:rsidRPr="004107DD">
        <w:rPr>
          <w:sz w:val="20"/>
          <w:szCs w:val="20"/>
          <w:u w:color="000000"/>
        </w:rPr>
        <w:t>º</w:t>
      </w:r>
      <w:r w:rsidRPr="004107DD">
        <w:rPr>
          <w:sz w:val="20"/>
          <w:szCs w:val="20"/>
        </w:rPr>
        <w:t xml:space="preserve"> deste artigo § 6</w:t>
      </w:r>
      <w:r w:rsidRPr="004107DD">
        <w:rPr>
          <w:sz w:val="20"/>
          <w:szCs w:val="20"/>
          <w:u w:color="000000"/>
        </w:rPr>
        <w:t>º</w:t>
      </w:r>
      <w:r w:rsidRPr="004107DD">
        <w:rPr>
          <w:sz w:val="20"/>
          <w:szCs w:val="20"/>
        </w:rPr>
        <w:t xml:space="preserve"> A venda por pregão respeitará as seguintes regras: </w:t>
      </w:r>
      <w:r w:rsidRPr="004107DD">
        <w:rPr>
          <w:b/>
          <w:sz w:val="20"/>
          <w:szCs w:val="20"/>
        </w:rPr>
        <w:t>I –</w:t>
      </w:r>
      <w:r w:rsidRPr="004107DD">
        <w:rPr>
          <w:sz w:val="20"/>
          <w:szCs w:val="20"/>
        </w:rPr>
        <w:t xml:space="preserve"> recebidas e abertas as propostas na forma do § 5</w:t>
      </w:r>
      <w:r w:rsidRPr="004107DD">
        <w:rPr>
          <w:sz w:val="20"/>
          <w:szCs w:val="20"/>
          <w:u w:color="000000"/>
        </w:rPr>
        <w:t>º</w:t>
      </w:r>
      <w:r w:rsidRPr="004107DD">
        <w:rPr>
          <w:sz w:val="20"/>
          <w:szCs w:val="20"/>
        </w:rPr>
        <w:t xml:space="preserve"> deste artigo, o juiz ordenará a notificação dos ofertantes, cujas propostas atendam ao requisito de seu inciso II, para comparecer ao leilão; </w:t>
      </w:r>
      <w:r w:rsidRPr="004107DD">
        <w:rPr>
          <w:b/>
          <w:sz w:val="20"/>
          <w:szCs w:val="20"/>
        </w:rPr>
        <w:t xml:space="preserve">II </w:t>
      </w:r>
      <w:r w:rsidRPr="004107DD">
        <w:rPr>
          <w:b/>
          <w:spacing w:val="2"/>
          <w:sz w:val="20"/>
          <w:szCs w:val="20"/>
        </w:rPr>
        <w:t>–</w:t>
      </w:r>
      <w:r w:rsidRPr="004107DD">
        <w:rPr>
          <w:spacing w:val="2"/>
          <w:sz w:val="20"/>
          <w:szCs w:val="20"/>
        </w:rPr>
        <w:t xml:space="preserve"> o valor de abertura do leilão será o da proposta recebida do maior ofertante presente, considerando-se esse valor como lance, ao qual ele fica obrigado; </w:t>
      </w:r>
      <w:r w:rsidRPr="004107DD">
        <w:rPr>
          <w:b/>
          <w:spacing w:val="2"/>
          <w:sz w:val="20"/>
          <w:szCs w:val="20"/>
        </w:rPr>
        <w:t>III –</w:t>
      </w:r>
      <w:r w:rsidRPr="004107DD">
        <w:rPr>
          <w:spacing w:val="2"/>
          <w:sz w:val="20"/>
          <w:szCs w:val="20"/>
        </w:rPr>
        <w:t xml:space="preserve"> caso não compareça ao leilão o ofertante da maior proposta e não seja dado lance igual ou superior ao valor por ele ofertado, fica obrigado a prestar a diferença verificada, constituindo a respectiva certidão do juízo título executivo para a cobrança dos valores pelo administrador judicial. § 7</w:t>
      </w:r>
      <w:r w:rsidRPr="004107DD">
        <w:rPr>
          <w:spacing w:val="2"/>
          <w:sz w:val="20"/>
          <w:szCs w:val="20"/>
          <w:u w:color="000000"/>
        </w:rPr>
        <w:t>º</w:t>
      </w:r>
      <w:r w:rsidRPr="004107DD">
        <w:rPr>
          <w:spacing w:val="2"/>
          <w:sz w:val="20"/>
          <w:szCs w:val="20"/>
        </w:rPr>
        <w:t xml:space="preserve"> Em qualquer modalidade de alienação, o Ministério Público será intimado pessoalmente, </w:t>
      </w:r>
      <w:proofErr w:type="gramStart"/>
      <w:r w:rsidRPr="004107DD">
        <w:rPr>
          <w:spacing w:val="2"/>
          <w:sz w:val="20"/>
          <w:szCs w:val="20"/>
        </w:rPr>
        <w:t>sob pena</w:t>
      </w:r>
      <w:proofErr w:type="gramEnd"/>
      <w:r w:rsidRPr="004107DD">
        <w:rPr>
          <w:spacing w:val="2"/>
          <w:sz w:val="20"/>
          <w:szCs w:val="20"/>
        </w:rPr>
        <w:t xml:space="preserve"> de nulidade.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3E"/>
    <w:rsid w:val="00060027"/>
    <w:rsid w:val="000B5D31"/>
    <w:rsid w:val="00274505"/>
    <w:rsid w:val="0029060C"/>
    <w:rsid w:val="002C5A8C"/>
    <w:rsid w:val="00302B33"/>
    <w:rsid w:val="00321039"/>
    <w:rsid w:val="00391692"/>
    <w:rsid w:val="003E4FDF"/>
    <w:rsid w:val="00525CA6"/>
    <w:rsid w:val="005C7DB5"/>
    <w:rsid w:val="00656C3E"/>
    <w:rsid w:val="006B12CA"/>
    <w:rsid w:val="0079679E"/>
    <w:rsid w:val="00955FAC"/>
    <w:rsid w:val="00A92758"/>
    <w:rsid w:val="00AC1DE5"/>
    <w:rsid w:val="00AF4021"/>
    <w:rsid w:val="00B23BD1"/>
    <w:rsid w:val="00C4754F"/>
    <w:rsid w:val="00DC048B"/>
    <w:rsid w:val="00F51324"/>
    <w:rsid w:val="00FB75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656C3E"/>
    <w:pPr>
      <w:autoSpaceDE w:val="0"/>
      <w:autoSpaceDN w:val="0"/>
      <w:adjustRightInd w:val="0"/>
      <w:spacing w:before="113" w:after="170" w:line="300" w:lineRule="atLeast"/>
      <w:jc w:val="center"/>
      <w:textAlignment w:val="center"/>
    </w:pPr>
    <w:rPr>
      <w:rFonts w:ascii="Garamond" w:eastAsia="Times New Roman" w:hAnsi="Garamond" w:cs="Garamond"/>
      <w:b/>
      <w:bCs/>
      <w:color w:val="000000"/>
      <w:sz w:val="28"/>
      <w:szCs w:val="28"/>
      <w:lang w:eastAsia="pt-BR"/>
    </w:rPr>
  </w:style>
  <w:style w:type="character" w:customStyle="1" w:styleId="TtuloChar">
    <w:name w:val="Título Char"/>
    <w:basedOn w:val="Fontepargpadro"/>
    <w:link w:val="Ttulo"/>
    <w:uiPriority w:val="10"/>
    <w:rsid w:val="00656C3E"/>
    <w:rPr>
      <w:rFonts w:ascii="Garamond" w:eastAsia="Times New Roman" w:hAnsi="Garamond" w:cs="Garamond"/>
      <w:b/>
      <w:bCs/>
      <w:color w:val="000000"/>
      <w:sz w:val="28"/>
      <w:szCs w:val="28"/>
      <w:lang w:eastAsia="pt-BR"/>
    </w:rPr>
  </w:style>
  <w:style w:type="paragraph" w:styleId="Rodap">
    <w:name w:val="footer"/>
    <w:basedOn w:val="Normal"/>
    <w:link w:val="RodapChar"/>
    <w:uiPriority w:val="99"/>
    <w:rsid w:val="00656C3E"/>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656C3E"/>
    <w:rPr>
      <w:rFonts w:ascii="Times New Roman" w:eastAsia="Times New Roman" w:hAnsi="Times New Roman" w:cs="Times New Roman"/>
      <w:sz w:val="24"/>
      <w:szCs w:val="24"/>
      <w:lang w:eastAsia="pt-BR"/>
    </w:rPr>
  </w:style>
  <w:style w:type="paragraph" w:customStyle="1" w:styleId="Texto">
    <w:name w:val="Texto"/>
    <w:basedOn w:val="Normal"/>
    <w:rsid w:val="00656C3E"/>
    <w:pPr>
      <w:autoSpaceDE w:val="0"/>
      <w:autoSpaceDN w:val="0"/>
      <w:adjustRightInd w:val="0"/>
      <w:spacing w:after="0" w:line="250" w:lineRule="atLeast"/>
      <w:jc w:val="both"/>
      <w:textAlignment w:val="center"/>
    </w:pPr>
    <w:rPr>
      <w:rFonts w:ascii="Garamond" w:eastAsia="Times New Roman" w:hAnsi="Garamond" w:cs="Garamond"/>
      <w:color w:val="000000"/>
      <w:sz w:val="21"/>
      <w:szCs w:val="21"/>
      <w:lang w:eastAsia="pt-BR"/>
    </w:rPr>
  </w:style>
  <w:style w:type="paragraph" w:customStyle="1" w:styleId="Comentrios">
    <w:name w:val="Comentários"/>
    <w:basedOn w:val="Normal"/>
    <w:rsid w:val="00656C3E"/>
    <w:pPr>
      <w:autoSpaceDE w:val="0"/>
      <w:autoSpaceDN w:val="0"/>
      <w:adjustRightInd w:val="0"/>
      <w:spacing w:after="0" w:line="240" w:lineRule="atLeast"/>
      <w:ind w:left="227"/>
      <w:jc w:val="both"/>
      <w:textAlignment w:val="center"/>
    </w:pPr>
    <w:rPr>
      <w:rFonts w:ascii="Garamond" w:eastAsia="Times New Roman" w:hAnsi="Garamond" w:cs="Garamond"/>
      <w:color w:val="000000"/>
      <w:sz w:val="20"/>
      <w:szCs w:val="20"/>
      <w:lang w:eastAsia="pt-BR"/>
    </w:rPr>
  </w:style>
  <w:style w:type="paragraph" w:customStyle="1" w:styleId="Centralizado">
    <w:name w:val="Centralizado"/>
    <w:basedOn w:val="Normal"/>
    <w:rsid w:val="00656C3E"/>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656C3E"/>
    <w:pPr>
      <w:autoSpaceDE w:val="0"/>
      <w:autoSpaceDN w:val="0"/>
      <w:adjustRightInd w:val="0"/>
      <w:spacing w:before="113" w:after="170" w:line="300" w:lineRule="atLeast"/>
      <w:jc w:val="center"/>
      <w:textAlignment w:val="center"/>
    </w:pPr>
    <w:rPr>
      <w:rFonts w:ascii="Garamond" w:eastAsia="Times New Roman" w:hAnsi="Garamond" w:cs="Garamond"/>
      <w:b/>
      <w:bCs/>
      <w:color w:val="000000"/>
      <w:sz w:val="28"/>
      <w:szCs w:val="28"/>
      <w:lang w:eastAsia="pt-BR"/>
    </w:rPr>
  </w:style>
  <w:style w:type="character" w:customStyle="1" w:styleId="TtuloChar">
    <w:name w:val="Título Char"/>
    <w:basedOn w:val="Fontepargpadro"/>
    <w:link w:val="Ttulo"/>
    <w:uiPriority w:val="10"/>
    <w:rsid w:val="00656C3E"/>
    <w:rPr>
      <w:rFonts w:ascii="Garamond" w:eastAsia="Times New Roman" w:hAnsi="Garamond" w:cs="Garamond"/>
      <w:b/>
      <w:bCs/>
      <w:color w:val="000000"/>
      <w:sz w:val="28"/>
      <w:szCs w:val="28"/>
      <w:lang w:eastAsia="pt-BR"/>
    </w:rPr>
  </w:style>
  <w:style w:type="paragraph" w:styleId="Rodap">
    <w:name w:val="footer"/>
    <w:basedOn w:val="Normal"/>
    <w:link w:val="RodapChar"/>
    <w:uiPriority w:val="99"/>
    <w:rsid w:val="00656C3E"/>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656C3E"/>
    <w:rPr>
      <w:rFonts w:ascii="Times New Roman" w:eastAsia="Times New Roman" w:hAnsi="Times New Roman" w:cs="Times New Roman"/>
      <w:sz w:val="24"/>
      <w:szCs w:val="24"/>
      <w:lang w:eastAsia="pt-BR"/>
    </w:rPr>
  </w:style>
  <w:style w:type="paragraph" w:customStyle="1" w:styleId="Texto">
    <w:name w:val="Texto"/>
    <w:basedOn w:val="Normal"/>
    <w:rsid w:val="00656C3E"/>
    <w:pPr>
      <w:autoSpaceDE w:val="0"/>
      <w:autoSpaceDN w:val="0"/>
      <w:adjustRightInd w:val="0"/>
      <w:spacing w:after="0" w:line="250" w:lineRule="atLeast"/>
      <w:jc w:val="both"/>
      <w:textAlignment w:val="center"/>
    </w:pPr>
    <w:rPr>
      <w:rFonts w:ascii="Garamond" w:eastAsia="Times New Roman" w:hAnsi="Garamond" w:cs="Garamond"/>
      <w:color w:val="000000"/>
      <w:sz w:val="21"/>
      <w:szCs w:val="21"/>
      <w:lang w:eastAsia="pt-BR"/>
    </w:rPr>
  </w:style>
  <w:style w:type="paragraph" w:customStyle="1" w:styleId="Comentrios">
    <w:name w:val="Comentários"/>
    <w:basedOn w:val="Normal"/>
    <w:rsid w:val="00656C3E"/>
    <w:pPr>
      <w:autoSpaceDE w:val="0"/>
      <w:autoSpaceDN w:val="0"/>
      <w:adjustRightInd w:val="0"/>
      <w:spacing w:after="0" w:line="240" w:lineRule="atLeast"/>
      <w:ind w:left="227"/>
      <w:jc w:val="both"/>
      <w:textAlignment w:val="center"/>
    </w:pPr>
    <w:rPr>
      <w:rFonts w:ascii="Garamond" w:eastAsia="Times New Roman" w:hAnsi="Garamond" w:cs="Garamond"/>
      <w:color w:val="000000"/>
      <w:sz w:val="20"/>
      <w:szCs w:val="20"/>
      <w:lang w:eastAsia="pt-BR"/>
    </w:rPr>
  </w:style>
  <w:style w:type="paragraph" w:customStyle="1" w:styleId="Centralizado">
    <w:name w:val="Centralizado"/>
    <w:basedOn w:val="Normal"/>
    <w:rsid w:val="00656C3E"/>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2248</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2020-06-24T19:30:00Z</dcterms:created>
  <dcterms:modified xsi:type="dcterms:W3CDTF">2020-07-10T20:54:00Z</dcterms:modified>
</cp:coreProperties>
</file>