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391521" w14:textId="77777777" w:rsidR="00D30CAE" w:rsidRPr="00D30CAE" w:rsidRDefault="00D30CAE" w:rsidP="00D30CAE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 w:rsidRPr="00D30CAE">
        <w:rPr>
          <w:rFonts w:ascii="Arial Black" w:hAnsi="Arial Black" w:cs="Times New Roman"/>
          <w:sz w:val="24"/>
          <w:szCs w:val="24"/>
        </w:rPr>
        <w:t>MODELO DE PETIÇÃO</w:t>
      </w:r>
      <w:bookmarkStart w:id="0" w:name="_GoBack"/>
      <w:bookmarkEnd w:id="0"/>
    </w:p>
    <w:p w14:paraId="58EC95F6" w14:textId="42A5B47A" w:rsidR="00D30CAE" w:rsidRPr="00D30CAE" w:rsidRDefault="00D30CAE" w:rsidP="00D30CAE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 w:rsidRPr="00D30CAE">
        <w:rPr>
          <w:rFonts w:ascii="Arial Black" w:hAnsi="Arial Black" w:cs="Times New Roman"/>
          <w:sz w:val="24"/>
          <w:szCs w:val="24"/>
        </w:rPr>
        <w:t>EXECUÇÃO FISCAL. REDIRECIONAMENTO. SÓCIO.</w:t>
      </w:r>
    </w:p>
    <w:p w14:paraId="0741EBB1" w14:textId="77777777" w:rsidR="00D30CAE" w:rsidRPr="00D30CAE" w:rsidRDefault="00D30CAE" w:rsidP="00D30CAE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 w:rsidRPr="00D30CAE">
        <w:rPr>
          <w:rFonts w:ascii="Arial Black" w:hAnsi="Arial Black" w:cs="Times New Roman"/>
          <w:sz w:val="24"/>
          <w:szCs w:val="24"/>
        </w:rPr>
        <w:t>MORTE DA PARTE. SUCESSÃO PROCESSUAL. HERDEIROS</w:t>
      </w:r>
    </w:p>
    <w:p w14:paraId="06FB994E" w14:textId="77777777" w:rsidR="00D30CAE" w:rsidRPr="00D30CAE" w:rsidRDefault="00D30CAE" w:rsidP="00D30CAE">
      <w:pPr>
        <w:spacing w:after="0" w:line="240" w:lineRule="auto"/>
        <w:ind w:right="-567"/>
        <w:jc w:val="right"/>
        <w:rPr>
          <w:rFonts w:ascii="Arial Black" w:hAnsi="Arial Black" w:cs="Times New Roman"/>
          <w:sz w:val="24"/>
          <w:szCs w:val="24"/>
        </w:rPr>
      </w:pPr>
      <w:r w:rsidRPr="00D30CAE">
        <w:rPr>
          <w:rFonts w:ascii="Arial Black" w:hAnsi="Arial Black" w:cs="Times New Roman"/>
          <w:sz w:val="24"/>
          <w:szCs w:val="24"/>
        </w:rPr>
        <w:t>Rénan Kfuri Lopes</w:t>
      </w:r>
    </w:p>
    <w:p w14:paraId="7490515A" w14:textId="77777777" w:rsidR="00D30CAE" w:rsidRPr="00D30CAE" w:rsidRDefault="00D30CAE" w:rsidP="00D30CAE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14:paraId="1B63C198" w14:textId="77777777" w:rsidR="00D30CAE" w:rsidRDefault="00D30CAE" w:rsidP="00D30CAE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D30CA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xmo. Sr. Juiz de Direito da ... Vara Cível da Comarca de ...</w:t>
      </w:r>
    </w:p>
    <w:p w14:paraId="1D9269B4" w14:textId="0E53821B" w:rsidR="00D30CAE" w:rsidRPr="00D30CAE" w:rsidRDefault="00D30CAE" w:rsidP="00D30CAE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D30CAE">
        <w:rPr>
          <w:rFonts w:ascii="Times New Roman" w:hAnsi="Times New Roman" w:cs="Times New Roman"/>
          <w:sz w:val="24"/>
          <w:szCs w:val="24"/>
        </w:rPr>
        <w:t xml:space="preserve">Execução fiscal n.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14EDD1A5" w14:textId="77777777" w:rsidR="00D30CAE" w:rsidRPr="00D30CAE" w:rsidRDefault="00D30CAE" w:rsidP="000B5F40">
      <w:pPr>
        <w:ind w:right="-568"/>
        <w:jc w:val="center"/>
        <w:rPr>
          <w:rFonts w:ascii="Times New Roman" w:hAnsi="Times New Roman" w:cs="Times New Roman"/>
          <w:sz w:val="24"/>
          <w:szCs w:val="24"/>
        </w:rPr>
      </w:pPr>
      <w:r w:rsidRPr="00D30CAE">
        <w:rPr>
          <w:rFonts w:ascii="Times New Roman" w:hAnsi="Times New Roman" w:cs="Times New Roman"/>
          <w:sz w:val="24"/>
          <w:szCs w:val="24"/>
        </w:rPr>
        <w:t>- regularização polo passivo litisconsorcial -</w:t>
      </w:r>
    </w:p>
    <w:p w14:paraId="029063B6" w14:textId="77777777" w:rsidR="00D30CAE" w:rsidRPr="00D30CAE" w:rsidRDefault="00D30CAE" w:rsidP="000B5F40">
      <w:pPr>
        <w:ind w:right="-568"/>
        <w:jc w:val="center"/>
        <w:rPr>
          <w:rFonts w:ascii="Times New Roman" w:hAnsi="Times New Roman" w:cs="Times New Roman"/>
          <w:sz w:val="24"/>
          <w:szCs w:val="24"/>
        </w:rPr>
      </w:pPr>
      <w:r w:rsidRPr="00D30CAE">
        <w:rPr>
          <w:rFonts w:ascii="Times New Roman" w:hAnsi="Times New Roman" w:cs="Times New Roman"/>
          <w:sz w:val="24"/>
          <w:szCs w:val="24"/>
        </w:rPr>
        <w:t>- inventário extinto por sentença definitiva -</w:t>
      </w:r>
    </w:p>
    <w:p w14:paraId="10C9F71C" w14:textId="34B2EF18" w:rsidR="00D30CAE" w:rsidRPr="00D30CAE" w:rsidRDefault="00D30CAE" w:rsidP="000B5F40">
      <w:pPr>
        <w:ind w:right="-568"/>
        <w:jc w:val="center"/>
        <w:rPr>
          <w:rFonts w:ascii="Times New Roman" w:hAnsi="Times New Roman" w:cs="Times New Roman"/>
          <w:sz w:val="24"/>
          <w:szCs w:val="24"/>
        </w:rPr>
      </w:pPr>
      <w:r w:rsidRPr="00D30CAE">
        <w:rPr>
          <w:rFonts w:ascii="Times New Roman" w:hAnsi="Times New Roman" w:cs="Times New Roman"/>
          <w:sz w:val="24"/>
          <w:szCs w:val="24"/>
        </w:rPr>
        <w:t>- substituição pelos herdeiros -</w:t>
      </w:r>
    </w:p>
    <w:p w14:paraId="058B0E1A" w14:textId="1250C436" w:rsidR="00D30CAE" w:rsidRPr="00D30CAE" w:rsidRDefault="00D30CAE" w:rsidP="00D30CAE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(nome, qualificação, endereço e CPF),</w:t>
      </w:r>
      <w:r w:rsidRPr="00D30CAE">
        <w:rPr>
          <w:rFonts w:ascii="Times New Roman" w:hAnsi="Times New Roman" w:cs="Times New Roman"/>
          <w:sz w:val="24"/>
          <w:szCs w:val="24"/>
        </w:rPr>
        <w:t xml:space="preserve"> por seu advogado </w:t>
      </w:r>
      <w:r w:rsidRPr="00D30CAE">
        <w:rPr>
          <w:rFonts w:ascii="Times New Roman" w:hAnsi="Times New Roman" w:cs="Times New Roman"/>
          <w:i/>
          <w:iCs/>
          <w:sz w:val="24"/>
          <w:szCs w:val="24"/>
        </w:rPr>
        <w:t xml:space="preserve">in fine </w:t>
      </w:r>
      <w:r w:rsidRPr="00D30CAE">
        <w:rPr>
          <w:rFonts w:ascii="Times New Roman" w:hAnsi="Times New Roman" w:cs="Times New Roman"/>
          <w:sz w:val="24"/>
          <w:szCs w:val="24"/>
        </w:rPr>
        <w:t xml:space="preserve">assinado, </w:t>
      </w:r>
      <w:r w:rsidRPr="00D30CAE">
        <w:rPr>
          <w:rFonts w:ascii="Times New Roman" w:hAnsi="Times New Roman" w:cs="Times New Roman"/>
          <w:i/>
          <w:iCs/>
          <w:sz w:val="24"/>
          <w:szCs w:val="24"/>
        </w:rPr>
        <w:t xml:space="preserve">ut </w:t>
      </w:r>
      <w:r w:rsidRPr="00D30CAE">
        <w:rPr>
          <w:rFonts w:ascii="Times New Roman" w:hAnsi="Times New Roman" w:cs="Times New Roman"/>
          <w:sz w:val="24"/>
          <w:szCs w:val="24"/>
        </w:rPr>
        <w:t>instrumento de procuração em anexo [doc.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n. ...</w:t>
      </w:r>
      <w:proofErr w:type="gramEnd"/>
      <w:r w:rsidRPr="00D30CAE">
        <w:rPr>
          <w:rFonts w:ascii="Times New Roman" w:hAnsi="Times New Roman" w:cs="Times New Roman"/>
          <w:sz w:val="24"/>
          <w:szCs w:val="24"/>
        </w:rPr>
        <w:t>], nos autos  da execução fiscal epigrafada promovida pela FAZENDA NACIONAL, vem, respeitosamente, aduzir o que se segue:</w:t>
      </w:r>
    </w:p>
    <w:p w14:paraId="42A8A5EE" w14:textId="36D44EA1" w:rsidR="00D30CAE" w:rsidRPr="00D30CAE" w:rsidRDefault="00D30CAE" w:rsidP="00D30CAE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D30CAE">
        <w:rPr>
          <w:rFonts w:ascii="Times New Roman" w:hAnsi="Times New Roman" w:cs="Times New Roman"/>
          <w:sz w:val="24"/>
          <w:szCs w:val="24"/>
        </w:rPr>
        <w:t xml:space="preserve">I- MORTE DA PARTE - SUBSTITUIÇÃO PELOS HERDEIROS </w:t>
      </w:r>
    </w:p>
    <w:p w14:paraId="227C7D4B" w14:textId="6E79580A" w:rsidR="00D30CAE" w:rsidRPr="00D30CAE" w:rsidRDefault="00D30CAE" w:rsidP="00D30CAE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D30CAE">
        <w:rPr>
          <w:rFonts w:ascii="Times New Roman" w:hAnsi="Times New Roman" w:cs="Times New Roman"/>
          <w:sz w:val="24"/>
          <w:szCs w:val="24"/>
        </w:rPr>
        <w:t>A presente execução foi a princípio ajuizada contra a sociedade “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D30CAE">
        <w:rPr>
          <w:rFonts w:ascii="Times New Roman" w:hAnsi="Times New Roman" w:cs="Times New Roman"/>
          <w:sz w:val="24"/>
          <w:szCs w:val="24"/>
        </w:rPr>
        <w:t xml:space="preserve">.” [Id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D30CAE">
        <w:rPr>
          <w:rFonts w:ascii="Times New Roman" w:hAnsi="Times New Roman" w:cs="Times New Roman"/>
          <w:sz w:val="24"/>
          <w:szCs w:val="24"/>
        </w:rPr>
        <w:t>]. Posteriormente foi redirecionada para o seu sócio de nome “</w:t>
      </w:r>
      <w:r>
        <w:rPr>
          <w:rFonts w:ascii="Times New Roman" w:hAnsi="Times New Roman" w:cs="Times New Roman"/>
          <w:sz w:val="24"/>
          <w:szCs w:val="24"/>
        </w:rPr>
        <w:t xml:space="preserve">...” </w:t>
      </w:r>
      <w:proofErr w:type="gramStart"/>
      <w:r w:rsidRPr="00D30CAE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>Id. ...</w:t>
      </w:r>
      <w:r w:rsidRPr="00D30CAE">
        <w:rPr>
          <w:rFonts w:ascii="Times New Roman" w:hAnsi="Times New Roman" w:cs="Times New Roman"/>
          <w:sz w:val="24"/>
          <w:szCs w:val="24"/>
        </w:rPr>
        <w:t>].</w:t>
      </w:r>
    </w:p>
    <w:p w14:paraId="42871D17" w14:textId="4C10F748" w:rsidR="00D30CAE" w:rsidRPr="00D30CAE" w:rsidRDefault="00D30CAE" w:rsidP="00D30CAE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D30CAE">
        <w:rPr>
          <w:rFonts w:ascii="Times New Roman" w:hAnsi="Times New Roman" w:cs="Times New Roman"/>
          <w:sz w:val="24"/>
          <w:szCs w:val="24"/>
        </w:rPr>
        <w:t xml:space="preserve">O coexecutado </w:t>
      </w:r>
      <w:r>
        <w:rPr>
          <w:rFonts w:ascii="Times New Roman" w:hAnsi="Times New Roman" w:cs="Times New Roman"/>
          <w:sz w:val="24"/>
          <w:szCs w:val="24"/>
        </w:rPr>
        <w:t xml:space="preserve">... </w:t>
      </w:r>
      <w:r w:rsidRPr="00D30CAE">
        <w:rPr>
          <w:rFonts w:ascii="Times New Roman" w:hAnsi="Times New Roman" w:cs="Times New Roman"/>
          <w:sz w:val="24"/>
          <w:szCs w:val="24"/>
        </w:rPr>
        <w:t xml:space="preserve">veio a falecer e foi aberto o processo do seu inventário perante esse d. juízo da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D30CAE">
        <w:rPr>
          <w:rFonts w:ascii="Times New Roman" w:hAnsi="Times New Roman" w:cs="Times New Roman"/>
          <w:sz w:val="24"/>
          <w:szCs w:val="24"/>
        </w:rPr>
        <w:t xml:space="preserve">ª Vara Cível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D30CAE">
        <w:rPr>
          <w:rFonts w:ascii="Times New Roman" w:hAnsi="Times New Roman" w:cs="Times New Roman"/>
          <w:sz w:val="24"/>
          <w:szCs w:val="24"/>
        </w:rPr>
        <w:t xml:space="preserve">, processo n.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D30CAE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D30CAE">
        <w:rPr>
          <w:rFonts w:ascii="Times New Roman" w:hAnsi="Times New Roman" w:cs="Times New Roman"/>
          <w:sz w:val="24"/>
          <w:szCs w:val="24"/>
        </w:rPr>
        <w:t xml:space="preserve">], motivo pelo qual rogou-se a habilitação do “Espólio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D30CAE">
        <w:rPr>
          <w:rFonts w:ascii="Times New Roman" w:hAnsi="Times New Roman" w:cs="Times New Roman"/>
          <w:sz w:val="24"/>
          <w:szCs w:val="24"/>
        </w:rPr>
        <w:t xml:space="preserve">” no Id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D30CAE">
        <w:rPr>
          <w:rFonts w:ascii="Times New Roman" w:hAnsi="Times New Roman" w:cs="Times New Roman"/>
          <w:sz w:val="24"/>
          <w:szCs w:val="24"/>
        </w:rPr>
        <w:t xml:space="preserve">, o que foi deferido na decisão do Id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D30CAE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D30CAE">
        <w:rPr>
          <w:rFonts w:ascii="Times New Roman" w:hAnsi="Times New Roman" w:cs="Times New Roman"/>
          <w:sz w:val="24"/>
          <w:szCs w:val="24"/>
        </w:rPr>
        <w:t>pág.</w:t>
      </w:r>
      <w:r>
        <w:rPr>
          <w:rFonts w:ascii="Times New Roman" w:hAnsi="Times New Roman" w:cs="Times New Roman"/>
          <w:sz w:val="24"/>
          <w:szCs w:val="24"/>
        </w:rPr>
        <w:t xml:space="preserve"> ...</w:t>
      </w:r>
      <w:proofErr w:type="gramEnd"/>
      <w:r w:rsidRPr="00D30CAE">
        <w:rPr>
          <w:rFonts w:ascii="Times New Roman" w:hAnsi="Times New Roman" w:cs="Times New Roman"/>
          <w:sz w:val="24"/>
          <w:szCs w:val="24"/>
        </w:rPr>
        <w:t>[doc.</w:t>
      </w:r>
      <w:r>
        <w:rPr>
          <w:rFonts w:ascii="Times New Roman" w:hAnsi="Times New Roman" w:cs="Times New Roman"/>
          <w:sz w:val="24"/>
          <w:szCs w:val="24"/>
        </w:rPr>
        <w:t xml:space="preserve"> n. ...</w:t>
      </w:r>
      <w:r w:rsidRPr="00D30CAE">
        <w:rPr>
          <w:rFonts w:ascii="Times New Roman" w:hAnsi="Times New Roman" w:cs="Times New Roman"/>
          <w:sz w:val="24"/>
          <w:szCs w:val="24"/>
        </w:rPr>
        <w:t>].</w:t>
      </w:r>
    </w:p>
    <w:p w14:paraId="7B4DCAC1" w14:textId="4596CA34" w:rsidR="00D30CAE" w:rsidRPr="00D30CAE" w:rsidRDefault="00D30CAE" w:rsidP="00D30CAE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D30CAE">
        <w:rPr>
          <w:rFonts w:ascii="Times New Roman" w:hAnsi="Times New Roman" w:cs="Times New Roman"/>
          <w:sz w:val="24"/>
          <w:szCs w:val="24"/>
        </w:rPr>
        <w:t>Todavia, o referido inventário judicial, no seu nascedouro, foi extinto sem resolução de mérito, através de sentença proferida por esse d. juízo, transitada em julgado [doc.</w:t>
      </w:r>
      <w:r>
        <w:rPr>
          <w:rFonts w:ascii="Times New Roman" w:hAnsi="Times New Roman" w:cs="Times New Roman"/>
          <w:sz w:val="24"/>
          <w:szCs w:val="24"/>
        </w:rPr>
        <w:t xml:space="preserve"> n. ...</w:t>
      </w:r>
      <w:r w:rsidRPr="00D30CAE">
        <w:rPr>
          <w:rFonts w:ascii="Times New Roman" w:hAnsi="Times New Roman" w:cs="Times New Roman"/>
          <w:sz w:val="24"/>
          <w:szCs w:val="24"/>
        </w:rPr>
        <w:t>].</w:t>
      </w:r>
    </w:p>
    <w:p w14:paraId="26382F1C" w14:textId="774D08AE" w:rsidR="00D30CAE" w:rsidRPr="00D30CAE" w:rsidRDefault="00D30CAE" w:rsidP="00D30CAE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D30CAE">
        <w:rPr>
          <w:rFonts w:ascii="Times New Roman" w:hAnsi="Times New Roman" w:cs="Times New Roman"/>
          <w:sz w:val="24"/>
          <w:szCs w:val="24"/>
        </w:rPr>
        <w:t xml:space="preserve">Destarte, não tendo sido procedida à nova abertura do processo sucessório judicial ou extrajudicial, </w:t>
      </w:r>
      <w:r w:rsidRPr="00D30CAE">
        <w:rPr>
          <w:rFonts w:ascii="Times New Roman" w:hAnsi="Times New Roman" w:cs="Times New Roman"/>
          <w:i/>
          <w:iCs/>
          <w:sz w:val="24"/>
          <w:szCs w:val="24"/>
        </w:rPr>
        <w:t xml:space="preserve">in </w:t>
      </w:r>
      <w:proofErr w:type="spellStart"/>
      <w:r w:rsidRPr="00D30CAE">
        <w:rPr>
          <w:rFonts w:ascii="Times New Roman" w:hAnsi="Times New Roman" w:cs="Times New Roman"/>
          <w:i/>
          <w:iCs/>
          <w:sz w:val="24"/>
          <w:szCs w:val="24"/>
        </w:rPr>
        <w:t>casu</w:t>
      </w:r>
      <w:proofErr w:type="spellEnd"/>
      <w:r w:rsidRPr="00D30CAE">
        <w:rPr>
          <w:rFonts w:ascii="Times New Roman" w:hAnsi="Times New Roman" w:cs="Times New Roman"/>
          <w:sz w:val="24"/>
          <w:szCs w:val="24"/>
        </w:rPr>
        <w:t xml:space="preserve">, indispensável que os autos sejam suspensos e se proceda à sucessão processual pelos seus herdeiros, </w:t>
      </w:r>
      <w:proofErr w:type="spellStart"/>
      <w:r w:rsidRPr="00D30CAE">
        <w:rPr>
          <w:rFonts w:ascii="Times New Roman" w:hAnsi="Times New Roman" w:cs="Times New Roman"/>
          <w:i/>
          <w:iCs/>
          <w:sz w:val="24"/>
          <w:szCs w:val="24"/>
        </w:rPr>
        <w:t>ex</w:t>
      </w:r>
      <w:proofErr w:type="spellEnd"/>
      <w:r w:rsidRPr="00D30CAE">
        <w:rPr>
          <w:rFonts w:ascii="Times New Roman" w:hAnsi="Times New Roman" w:cs="Times New Roman"/>
          <w:i/>
          <w:iCs/>
          <w:sz w:val="24"/>
          <w:szCs w:val="24"/>
        </w:rPr>
        <w:t xml:space="preserve"> vi</w:t>
      </w:r>
      <w:r w:rsidRPr="00D30CAE">
        <w:rPr>
          <w:rFonts w:ascii="Times New Roman" w:hAnsi="Times New Roman" w:cs="Times New Roman"/>
          <w:sz w:val="24"/>
          <w:szCs w:val="24"/>
        </w:rPr>
        <w:t xml:space="preserve"> art.313, I </w:t>
      </w:r>
      <w:proofErr w:type="spellStart"/>
      <w:r w:rsidRPr="00D30CAE">
        <w:rPr>
          <w:rFonts w:ascii="Times New Roman" w:hAnsi="Times New Roman" w:cs="Times New Roman"/>
          <w:sz w:val="24"/>
          <w:szCs w:val="24"/>
        </w:rPr>
        <w:t>c.c</w:t>
      </w:r>
      <w:proofErr w:type="spellEnd"/>
      <w:r w:rsidRPr="00D30CAE">
        <w:rPr>
          <w:rFonts w:ascii="Times New Roman" w:hAnsi="Times New Roman" w:cs="Times New Roman"/>
          <w:sz w:val="24"/>
          <w:szCs w:val="24"/>
        </w:rPr>
        <w:t>. art. 110, ambos do CPC:</w:t>
      </w:r>
    </w:p>
    <w:p w14:paraId="547404EF" w14:textId="77777777" w:rsidR="00D30CAE" w:rsidRPr="00D30CAE" w:rsidRDefault="00D30CAE" w:rsidP="00D30CAE">
      <w:pPr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30CAE">
        <w:rPr>
          <w:rFonts w:ascii="Times New Roman" w:hAnsi="Times New Roman" w:cs="Times New Roman"/>
          <w:i/>
          <w:iCs/>
          <w:sz w:val="24"/>
          <w:szCs w:val="24"/>
        </w:rPr>
        <w:t>CPC, art. 313. Suspende-se o processo:</w:t>
      </w:r>
    </w:p>
    <w:p w14:paraId="01EE34C5" w14:textId="77777777" w:rsidR="00D30CAE" w:rsidRPr="00D30CAE" w:rsidRDefault="00D30CAE" w:rsidP="00D30CAE">
      <w:pPr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30CAE">
        <w:rPr>
          <w:rFonts w:ascii="Times New Roman" w:hAnsi="Times New Roman" w:cs="Times New Roman"/>
          <w:i/>
          <w:iCs/>
          <w:sz w:val="24"/>
          <w:szCs w:val="24"/>
        </w:rPr>
        <w:t xml:space="preserve">I. pela morte ou pela perda da capacidade processual de </w:t>
      </w:r>
      <w:r w:rsidRPr="00D30CAE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qualquer das partes, de seu representante legal ou de seu </w:t>
      </w:r>
      <w:r w:rsidRPr="00D30CAE">
        <w:rPr>
          <w:rFonts w:ascii="Times New Roman" w:hAnsi="Times New Roman" w:cs="Times New Roman"/>
          <w:i/>
          <w:iCs/>
          <w:sz w:val="24"/>
          <w:szCs w:val="24"/>
        </w:rPr>
        <w:tab/>
        <w:t>procurador;</w:t>
      </w:r>
    </w:p>
    <w:p w14:paraId="6C682819" w14:textId="43A15000" w:rsidR="00D30CAE" w:rsidRPr="00D30CAE" w:rsidRDefault="00D30CAE" w:rsidP="00D30CAE">
      <w:pPr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30CAE">
        <w:rPr>
          <w:rFonts w:ascii="Times New Roman" w:hAnsi="Times New Roman" w:cs="Times New Roman"/>
          <w:i/>
          <w:iCs/>
          <w:sz w:val="24"/>
          <w:szCs w:val="24"/>
        </w:rPr>
        <w:t>...</w:t>
      </w:r>
      <w:proofErr w:type="spellStart"/>
      <w:r w:rsidRPr="00D30CAE">
        <w:rPr>
          <w:rFonts w:ascii="Times New Roman" w:hAnsi="Times New Roman" w:cs="Times New Roman"/>
          <w:i/>
          <w:iCs/>
          <w:sz w:val="24"/>
          <w:szCs w:val="24"/>
        </w:rPr>
        <w:t>omissis</w:t>
      </w:r>
      <w:proofErr w:type="spellEnd"/>
      <w:r w:rsidRPr="00D30CAE">
        <w:rPr>
          <w:rFonts w:ascii="Times New Roman" w:hAnsi="Times New Roman" w:cs="Times New Roman"/>
          <w:i/>
          <w:iCs/>
          <w:sz w:val="24"/>
          <w:szCs w:val="24"/>
        </w:rPr>
        <w:t>...</w:t>
      </w:r>
    </w:p>
    <w:p w14:paraId="431C63CA" w14:textId="1E86F6CE" w:rsidR="00D30CAE" w:rsidRPr="00D30CAE" w:rsidRDefault="00D30CAE" w:rsidP="00D30CAE">
      <w:pPr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30CAE">
        <w:rPr>
          <w:rFonts w:ascii="Times New Roman" w:hAnsi="Times New Roman" w:cs="Times New Roman"/>
          <w:i/>
          <w:iCs/>
          <w:sz w:val="24"/>
          <w:szCs w:val="24"/>
        </w:rPr>
        <w:t>CPC, art. 110. Ocorrendo a morte de qualquer das partes, dar-se-á a sucessão pelo seu espólio ou pelos seus sucessores, observado o disposto no art. 313, §§ 1º e 2º.</w:t>
      </w:r>
    </w:p>
    <w:p w14:paraId="332D060A" w14:textId="6046F7E0" w:rsidR="00D30CAE" w:rsidRPr="00D30CAE" w:rsidRDefault="00D30CAE" w:rsidP="00D30CAE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D30CAE">
        <w:rPr>
          <w:rFonts w:ascii="Times New Roman" w:hAnsi="Times New Roman" w:cs="Times New Roman"/>
          <w:sz w:val="24"/>
          <w:szCs w:val="24"/>
        </w:rPr>
        <w:t>Nesse sentido:</w:t>
      </w:r>
    </w:p>
    <w:p w14:paraId="73C0BC3E" w14:textId="6BC07D1D" w:rsidR="00D30CAE" w:rsidRPr="00D30CAE" w:rsidRDefault="00D30CAE" w:rsidP="00D30CAE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D30CAE">
        <w:rPr>
          <w:rFonts w:ascii="Times New Roman" w:hAnsi="Times New Roman" w:cs="Times New Roman"/>
          <w:i/>
          <w:iCs/>
          <w:sz w:val="24"/>
          <w:szCs w:val="24"/>
        </w:rPr>
        <w:t>APELAÇÃO - AÇÃO DE EXECUÇÃO DE OBRIGAÇÃO DE FAZER - MORTE DO EXECUTADO - JUNTADA DA CERTIDÃO DE ÓBITO - NECESSIDADE - DILIGÊNCIA A CARGO DO EXECUTADO. Falecido o executado, necessária a juntada da certidão de óbito para comprovar o falecimento do réu e providenciar a sucessão processual pelo espólio ou pelos herdeiros do de cujos, na ausência de inventário</w:t>
      </w:r>
      <w:r w:rsidRPr="00D30CA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Pr="00D30CAE">
        <w:rPr>
          <w:rFonts w:ascii="Times New Roman" w:hAnsi="Times New Roman" w:cs="Times New Roman"/>
          <w:sz w:val="24"/>
          <w:szCs w:val="24"/>
        </w:rPr>
        <w:t xml:space="preserve">[TJMG, Apel. Cível 1.0702.00.006980-8/001, </w:t>
      </w:r>
      <w:proofErr w:type="spellStart"/>
      <w:r w:rsidRPr="00D30CAE">
        <w:rPr>
          <w:rFonts w:ascii="Times New Roman" w:hAnsi="Times New Roman" w:cs="Times New Roman"/>
          <w:sz w:val="24"/>
          <w:szCs w:val="24"/>
        </w:rPr>
        <w:t>DJe</w:t>
      </w:r>
      <w:proofErr w:type="spellEnd"/>
      <w:r w:rsidRPr="00D30CAE">
        <w:rPr>
          <w:rFonts w:ascii="Times New Roman" w:hAnsi="Times New Roman" w:cs="Times New Roman"/>
          <w:sz w:val="24"/>
          <w:szCs w:val="24"/>
        </w:rPr>
        <w:t xml:space="preserve"> 29.06.2018]</w:t>
      </w:r>
    </w:p>
    <w:p w14:paraId="6B636272" w14:textId="6B65CA41" w:rsidR="00D30CAE" w:rsidRPr="00D30CAE" w:rsidRDefault="00D30CAE" w:rsidP="00D30CAE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r w:rsidRPr="00D30CAE">
        <w:rPr>
          <w:rFonts w:ascii="Times New Roman" w:hAnsi="Times New Roman" w:cs="Times New Roman"/>
          <w:sz w:val="24"/>
          <w:szCs w:val="24"/>
        </w:rPr>
        <w:t>Destarte, para fins de atendimento ao art. 110 do CPC e dentro dos preceitos fundamentos do diploma instrumental civil de solução razoável do processo, boa-fé e cooperação, informa os nomes e endereços dos herdeiros a serem citados</w:t>
      </w:r>
      <w:r w:rsidR="00B32440"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  <w:r w:rsidRPr="00D30CAE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F127FD1" w14:textId="41D46539" w:rsidR="00D30CAE" w:rsidRDefault="00D30CAE" w:rsidP="00D30CAE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D30CAE">
        <w:rPr>
          <w:rFonts w:ascii="Times New Roman" w:hAnsi="Times New Roman" w:cs="Times New Roman"/>
          <w:sz w:val="24"/>
          <w:szCs w:val="24"/>
        </w:rPr>
        <w:t xml:space="preserve">- </w:t>
      </w:r>
      <w:r w:rsidR="00B32440">
        <w:rPr>
          <w:rFonts w:ascii="Times New Roman" w:hAnsi="Times New Roman" w:cs="Times New Roman"/>
          <w:sz w:val="24"/>
          <w:szCs w:val="24"/>
        </w:rPr>
        <w:t>(nome, qualificação, endereço e CPF);</w:t>
      </w:r>
    </w:p>
    <w:p w14:paraId="7869A9A6" w14:textId="77777777" w:rsidR="00B32440" w:rsidRPr="00D30CAE" w:rsidRDefault="00B32440" w:rsidP="00B3244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D30CA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(nome, qualificação, endereço e CPF);</w:t>
      </w:r>
    </w:p>
    <w:p w14:paraId="4E37B50E" w14:textId="188246E6" w:rsidR="00D30CAE" w:rsidRPr="00D30CAE" w:rsidRDefault="00B32440" w:rsidP="00D30CAE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D30CA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(nome, qualificação, endereço e CPF).</w:t>
      </w:r>
    </w:p>
    <w:p w14:paraId="4A29B8B8" w14:textId="2297CD6C" w:rsidR="00D30CAE" w:rsidRPr="00D30CAE" w:rsidRDefault="00B32440" w:rsidP="00D30CAE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D30CAE">
        <w:rPr>
          <w:rFonts w:ascii="Times New Roman" w:hAnsi="Times New Roman" w:cs="Times New Roman"/>
          <w:sz w:val="24"/>
          <w:szCs w:val="24"/>
        </w:rPr>
        <w:t xml:space="preserve">II- PEDIDOS </w:t>
      </w:r>
    </w:p>
    <w:p w14:paraId="18F9F435" w14:textId="4977E86B" w:rsidR="00D30CAE" w:rsidRPr="00D30CAE" w:rsidRDefault="00B32440" w:rsidP="00D30CAE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="00D30CAE" w:rsidRPr="00B32440">
        <w:rPr>
          <w:rFonts w:ascii="Times New Roman" w:hAnsi="Times New Roman" w:cs="Times New Roman"/>
          <w:b/>
          <w:bCs/>
          <w:i/>
          <w:iCs/>
          <w:sz w:val="24"/>
          <w:szCs w:val="24"/>
        </w:rPr>
        <w:t>Ex</w:t>
      </w:r>
      <w:proofErr w:type="spellEnd"/>
      <w:r w:rsidR="00D30CAE" w:rsidRPr="00B3244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positis</w:t>
      </w:r>
      <w:r w:rsidR="00D30CAE" w:rsidRPr="00D30CAE">
        <w:rPr>
          <w:rFonts w:ascii="Times New Roman" w:hAnsi="Times New Roman" w:cs="Times New Roman"/>
          <w:sz w:val="24"/>
          <w:szCs w:val="24"/>
        </w:rPr>
        <w:t>, a peticionária/viúva requer:</w:t>
      </w:r>
    </w:p>
    <w:p w14:paraId="37C04D6E" w14:textId="5441B9A4" w:rsidR="00D30CAE" w:rsidRPr="00D30CAE" w:rsidRDefault="00D30CAE" w:rsidP="00D30CAE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D30CAE">
        <w:rPr>
          <w:rFonts w:ascii="Times New Roman" w:hAnsi="Times New Roman" w:cs="Times New Roman"/>
          <w:sz w:val="24"/>
          <w:szCs w:val="24"/>
        </w:rPr>
        <w:t>a)</w:t>
      </w:r>
      <w:r w:rsidR="00B32440">
        <w:rPr>
          <w:rFonts w:ascii="Times New Roman" w:hAnsi="Times New Roman" w:cs="Times New Roman"/>
          <w:sz w:val="24"/>
          <w:szCs w:val="24"/>
        </w:rPr>
        <w:t xml:space="preserve"> </w:t>
      </w:r>
      <w:r w:rsidRPr="00D30CAE">
        <w:rPr>
          <w:rFonts w:ascii="Times New Roman" w:hAnsi="Times New Roman" w:cs="Times New Roman"/>
          <w:sz w:val="24"/>
          <w:szCs w:val="24"/>
        </w:rPr>
        <w:t>seja determinada a imediata suspensão do processo;</w:t>
      </w:r>
    </w:p>
    <w:p w14:paraId="7D4D4DEC" w14:textId="0C9CE249" w:rsidR="00D30CAE" w:rsidRPr="00D30CAE" w:rsidRDefault="00D30CAE" w:rsidP="00D30CAE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D30CAE">
        <w:rPr>
          <w:rFonts w:ascii="Times New Roman" w:hAnsi="Times New Roman" w:cs="Times New Roman"/>
          <w:sz w:val="24"/>
          <w:szCs w:val="24"/>
        </w:rPr>
        <w:t>b)</w:t>
      </w:r>
      <w:r w:rsidR="00B32440">
        <w:rPr>
          <w:rFonts w:ascii="Times New Roman" w:hAnsi="Times New Roman" w:cs="Times New Roman"/>
          <w:sz w:val="24"/>
          <w:szCs w:val="24"/>
        </w:rPr>
        <w:t xml:space="preserve"> </w:t>
      </w:r>
      <w:r w:rsidRPr="00D30CAE">
        <w:rPr>
          <w:rFonts w:ascii="Times New Roman" w:hAnsi="Times New Roman" w:cs="Times New Roman"/>
          <w:sz w:val="24"/>
          <w:szCs w:val="24"/>
        </w:rPr>
        <w:t>seja procedida a regularização da representação processual da parte falecida, intimando-se os herdeiros acima indicados, na forma da lei;</w:t>
      </w:r>
    </w:p>
    <w:p w14:paraId="6A192E4E" w14:textId="39C9F999" w:rsidR="00D30CAE" w:rsidRPr="00D30CAE" w:rsidRDefault="00D30CAE" w:rsidP="00D30CAE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D30CAE">
        <w:rPr>
          <w:rFonts w:ascii="Times New Roman" w:hAnsi="Times New Roman" w:cs="Times New Roman"/>
          <w:sz w:val="24"/>
          <w:szCs w:val="24"/>
        </w:rPr>
        <w:t>c)</w:t>
      </w:r>
      <w:r w:rsidR="00B32440">
        <w:rPr>
          <w:rFonts w:ascii="Times New Roman" w:hAnsi="Times New Roman" w:cs="Times New Roman"/>
          <w:sz w:val="24"/>
          <w:szCs w:val="24"/>
        </w:rPr>
        <w:t xml:space="preserve"> </w:t>
      </w:r>
      <w:r w:rsidRPr="00D30CAE">
        <w:rPr>
          <w:rFonts w:ascii="Times New Roman" w:hAnsi="Times New Roman" w:cs="Times New Roman"/>
          <w:sz w:val="24"/>
          <w:szCs w:val="24"/>
        </w:rPr>
        <w:t>o cadastramento do signatário para as vindouras publicações.</w:t>
      </w:r>
    </w:p>
    <w:p w14:paraId="631259CC" w14:textId="77777777" w:rsidR="00D30CAE" w:rsidRPr="00D30CAE" w:rsidRDefault="00D30CAE" w:rsidP="00B32440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 w:rsidRPr="00D30CAE">
        <w:rPr>
          <w:rFonts w:ascii="Times New Roman" w:hAnsi="Times New Roman" w:cs="Times New Roman"/>
          <w:sz w:val="24"/>
          <w:szCs w:val="24"/>
        </w:rPr>
        <w:t>P. Deferimento.</w:t>
      </w:r>
    </w:p>
    <w:p w14:paraId="0F05A237" w14:textId="724EF6DC" w:rsidR="00D30CAE" w:rsidRDefault="00B32440" w:rsidP="00B32440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(Local e data)</w:t>
      </w:r>
    </w:p>
    <w:p w14:paraId="5A6154B3" w14:textId="77B837F8" w:rsidR="00B32440" w:rsidRPr="00D30CAE" w:rsidRDefault="00B32440" w:rsidP="00B32440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(Assinatura e OAB do Advogado)</w:t>
      </w:r>
    </w:p>
    <w:sectPr w:rsidR="00B32440" w:rsidRPr="00D30C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98D6CD" w14:textId="77777777" w:rsidR="00DE6B28" w:rsidRDefault="00DE6B28" w:rsidP="00D30CAE">
      <w:pPr>
        <w:spacing w:after="0" w:line="240" w:lineRule="auto"/>
      </w:pPr>
      <w:r>
        <w:separator/>
      </w:r>
    </w:p>
  </w:endnote>
  <w:endnote w:type="continuationSeparator" w:id="0">
    <w:p w14:paraId="64978CC6" w14:textId="77777777" w:rsidR="00DE6B28" w:rsidRDefault="00DE6B28" w:rsidP="00D30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A5AB5C" w14:textId="77777777" w:rsidR="00DE6B28" w:rsidRDefault="00DE6B28" w:rsidP="00D30CAE">
      <w:pPr>
        <w:spacing w:after="0" w:line="240" w:lineRule="auto"/>
      </w:pPr>
      <w:r>
        <w:separator/>
      </w:r>
    </w:p>
  </w:footnote>
  <w:footnote w:type="continuationSeparator" w:id="0">
    <w:p w14:paraId="10D55B30" w14:textId="77777777" w:rsidR="00DE6B28" w:rsidRDefault="00DE6B28" w:rsidP="00D30CAE">
      <w:pPr>
        <w:spacing w:after="0" w:line="240" w:lineRule="auto"/>
      </w:pPr>
      <w:r>
        <w:continuationSeparator/>
      </w:r>
    </w:p>
  </w:footnote>
  <w:footnote w:id="1">
    <w:p w14:paraId="3B0D0B4A" w14:textId="65A072C4" w:rsidR="00B32440" w:rsidRPr="00B32440" w:rsidRDefault="00B32440" w:rsidP="00B32440">
      <w:pPr>
        <w:pStyle w:val="Textodenotaderodap"/>
        <w:jc w:val="both"/>
        <w:rPr>
          <w:rFonts w:ascii="Times New Roman" w:hAnsi="Times New Roman" w:cs="Times New Roman"/>
        </w:rPr>
      </w:pPr>
      <w:r w:rsidRPr="00B32440">
        <w:rPr>
          <w:rStyle w:val="Refdenotaderodap"/>
          <w:rFonts w:ascii="Times New Roman" w:hAnsi="Times New Roman" w:cs="Times New Roman"/>
        </w:rPr>
        <w:footnoteRef/>
      </w:r>
      <w:r w:rsidRPr="00B32440">
        <w:rPr>
          <w:rFonts w:ascii="Times New Roman" w:hAnsi="Times New Roman" w:cs="Times New Roman"/>
        </w:rPr>
        <w:t xml:space="preserve"> CPC, </w:t>
      </w:r>
      <w:proofErr w:type="spellStart"/>
      <w:r w:rsidRPr="00B32440">
        <w:rPr>
          <w:rFonts w:ascii="Times New Roman" w:hAnsi="Times New Roman" w:cs="Times New Roman"/>
        </w:rPr>
        <w:t>arts</w:t>
      </w:r>
      <w:proofErr w:type="spellEnd"/>
      <w:r w:rsidRPr="00B32440">
        <w:rPr>
          <w:rFonts w:ascii="Times New Roman" w:hAnsi="Times New Roman" w:cs="Times New Roman"/>
        </w:rPr>
        <w:t>. 4º, 5º e 6º.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CAE"/>
    <w:rsid w:val="000B5F40"/>
    <w:rsid w:val="00B32440"/>
    <w:rsid w:val="00D30CAE"/>
    <w:rsid w:val="00DE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F2A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3244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32440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324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3244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32440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324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8A07F-E246-450D-8802-550DBC209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475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</dc:creator>
  <cp:keywords/>
  <dc:description/>
  <cp:lastModifiedBy>RÉNAN KFURI LOPES</cp:lastModifiedBy>
  <cp:revision>2</cp:revision>
  <dcterms:created xsi:type="dcterms:W3CDTF">2021-12-13T18:42:00Z</dcterms:created>
  <dcterms:modified xsi:type="dcterms:W3CDTF">2022-01-10T01:30:00Z</dcterms:modified>
</cp:coreProperties>
</file>