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35" w:rsidRDefault="00FC0D35" w:rsidP="007F7F09">
      <w:pPr>
        <w:pStyle w:val="Ttulo"/>
        <w:spacing w:before="0" w:after="0" w:line="240" w:lineRule="auto"/>
        <w:ind w:right="-427"/>
        <w:rPr>
          <w:rFonts w:ascii="Arial Black" w:hAnsi="Arial Black" w:cs="Times New Roman"/>
          <w:sz w:val="24"/>
          <w:szCs w:val="24"/>
        </w:rPr>
      </w:pPr>
      <w:r w:rsidRPr="00FC0D35">
        <w:rPr>
          <w:rFonts w:ascii="Arial Black" w:hAnsi="Arial Black" w:cs="Times New Roman"/>
          <w:sz w:val="24"/>
          <w:szCs w:val="24"/>
        </w:rPr>
        <w:t>MODELO DE PETIÇÃO</w:t>
      </w:r>
    </w:p>
    <w:p w:rsidR="00ED7542" w:rsidRDefault="007F70DB" w:rsidP="007F7F09">
      <w:pPr>
        <w:pStyle w:val="Ttulo"/>
        <w:spacing w:before="0" w:after="0" w:line="240" w:lineRule="auto"/>
        <w:ind w:right="-427"/>
        <w:rPr>
          <w:rFonts w:ascii="Arial Black" w:hAnsi="Arial Black" w:cs="Times New Roman"/>
          <w:sz w:val="24"/>
          <w:szCs w:val="24"/>
        </w:rPr>
      </w:pPr>
      <w:r>
        <w:rPr>
          <w:rFonts w:ascii="Arial Black" w:hAnsi="Arial Black" w:cs="Times New Roman"/>
          <w:sz w:val="24"/>
          <w:szCs w:val="24"/>
        </w:rPr>
        <w:t xml:space="preserve">EXECUÇÃO. </w:t>
      </w:r>
      <w:bookmarkStart w:id="0" w:name="_GoBack"/>
      <w:bookmarkEnd w:id="0"/>
      <w:r w:rsidR="00AD0824" w:rsidRPr="007F7F09">
        <w:rPr>
          <w:rFonts w:ascii="Arial Black" w:hAnsi="Arial Black" w:cs="Times New Roman"/>
          <w:sz w:val="24"/>
          <w:szCs w:val="24"/>
        </w:rPr>
        <w:t xml:space="preserve">PENHORA. INSUFICIÊNCIA DE BENS. </w:t>
      </w:r>
      <w:r w:rsidR="00ED7542" w:rsidRPr="007F7F09">
        <w:rPr>
          <w:rFonts w:ascii="Arial Black" w:hAnsi="Arial Black" w:cs="Times New Roman"/>
          <w:sz w:val="24"/>
          <w:szCs w:val="24"/>
        </w:rPr>
        <w:t>SEGUNDA PENHORA</w:t>
      </w:r>
    </w:p>
    <w:p w:rsidR="00137549" w:rsidRPr="007F7F09" w:rsidRDefault="00137549" w:rsidP="00137549">
      <w:pPr>
        <w:ind w:right="-568"/>
        <w:jc w:val="right"/>
        <w:rPr>
          <w:rFonts w:ascii="Arial Black" w:hAnsi="Arial Black" w:cs="Times New Roman"/>
          <w:sz w:val="24"/>
          <w:szCs w:val="24"/>
        </w:rPr>
      </w:pPr>
      <w:r>
        <w:rPr>
          <w:rFonts w:ascii="Arial Black" w:hAnsi="Arial Black" w:cs="Times New Roman"/>
          <w:sz w:val="24"/>
          <w:szCs w:val="24"/>
        </w:rPr>
        <w:t>Rénan Kfuri Lopes</w:t>
      </w:r>
    </w:p>
    <w:p w:rsidR="00ED7542" w:rsidRPr="007F7F09" w:rsidRDefault="00ED7542" w:rsidP="007F7F09">
      <w:pPr>
        <w:pStyle w:val="Texto"/>
        <w:ind w:right="-427"/>
        <w:rPr>
          <w:rFonts w:ascii="Times New Roman" w:hAnsi="Times New Roman" w:cs="Times New Roman"/>
          <w:sz w:val="24"/>
          <w:szCs w:val="24"/>
        </w:rPr>
      </w:pPr>
    </w:p>
    <w:p w:rsidR="00702363" w:rsidRPr="007F7F09" w:rsidRDefault="00ED7542" w:rsidP="007F7F09">
      <w:pPr>
        <w:pStyle w:val="Texto"/>
        <w:ind w:right="-427"/>
        <w:rPr>
          <w:rFonts w:ascii="Times New Roman" w:hAnsi="Times New Roman" w:cs="Times New Roman"/>
          <w:sz w:val="24"/>
          <w:szCs w:val="24"/>
          <w:u w:color="000000"/>
        </w:rPr>
      </w:pPr>
      <w:r w:rsidRPr="007F7F09">
        <w:rPr>
          <w:rFonts w:ascii="Times New Roman" w:hAnsi="Times New Roman" w:cs="Times New Roman"/>
          <w:sz w:val="24"/>
          <w:szCs w:val="24"/>
          <w:u w:val="single" w:color="000000"/>
        </w:rPr>
        <w:t>COMENTÁRIOS</w:t>
      </w:r>
      <w:r w:rsidR="00702363" w:rsidRPr="007F7F09">
        <w:rPr>
          <w:rFonts w:ascii="Times New Roman" w:hAnsi="Times New Roman" w:cs="Times New Roman"/>
          <w:sz w:val="24"/>
          <w:szCs w:val="24"/>
          <w:u w:color="000000"/>
        </w:rPr>
        <w:t>:</w:t>
      </w:r>
    </w:p>
    <w:p w:rsidR="00ED7542" w:rsidRPr="007F7F09" w:rsidRDefault="00ED7542" w:rsidP="007F7F09">
      <w:pPr>
        <w:pStyle w:val="Comentrios"/>
        <w:ind w:left="0" w:right="-427"/>
        <w:rPr>
          <w:rFonts w:ascii="Times New Roman" w:hAnsi="Times New Roman" w:cs="Times New Roman"/>
          <w:sz w:val="24"/>
          <w:szCs w:val="24"/>
        </w:rPr>
      </w:pPr>
      <w:r w:rsidRPr="007F7F09">
        <w:rPr>
          <w:rFonts w:ascii="Times New Roman" w:hAnsi="Times New Roman" w:cs="Times New Roman"/>
          <w:sz w:val="24"/>
          <w:szCs w:val="24"/>
        </w:rPr>
        <w:t xml:space="preserve">- </w:t>
      </w:r>
      <w:r w:rsidR="00702363" w:rsidRPr="007F7F09">
        <w:rPr>
          <w:rFonts w:ascii="Times New Roman" w:hAnsi="Times New Roman" w:cs="Times New Roman"/>
          <w:sz w:val="24"/>
          <w:szCs w:val="24"/>
        </w:rPr>
        <w:t xml:space="preserve">A realização de </w:t>
      </w:r>
      <w:r w:rsidRPr="007F7F09">
        <w:rPr>
          <w:rFonts w:ascii="Times New Roman" w:hAnsi="Times New Roman" w:cs="Times New Roman"/>
          <w:sz w:val="24"/>
          <w:szCs w:val="24"/>
        </w:rPr>
        <w:t>segunda penhora</w:t>
      </w:r>
      <w:r w:rsidR="00702363" w:rsidRPr="007F7F09">
        <w:rPr>
          <w:rFonts w:ascii="Times New Roman" w:hAnsi="Times New Roman" w:cs="Times New Roman"/>
          <w:sz w:val="24"/>
          <w:szCs w:val="24"/>
        </w:rPr>
        <w:t xml:space="preserve"> ocorrerá somente nas hipóteses previstas do art. </w:t>
      </w:r>
      <w:r w:rsidR="00CA15E2" w:rsidRPr="007F7F09">
        <w:rPr>
          <w:rFonts w:ascii="Times New Roman" w:hAnsi="Times New Roman" w:cs="Times New Roman"/>
          <w:sz w:val="24"/>
          <w:szCs w:val="24"/>
        </w:rPr>
        <w:t>851</w:t>
      </w:r>
      <w:r w:rsidRPr="007F7F09">
        <w:rPr>
          <w:rFonts w:ascii="Times New Roman" w:hAnsi="Times New Roman" w:cs="Times New Roman"/>
          <w:sz w:val="24"/>
          <w:szCs w:val="24"/>
        </w:rPr>
        <w:t xml:space="preserve"> do CPC</w:t>
      </w:r>
      <w:r w:rsidRPr="007F7F09">
        <w:rPr>
          <w:rFonts w:ascii="Times New Roman" w:hAnsi="Times New Roman" w:cs="Times New Roman"/>
          <w:sz w:val="24"/>
          <w:szCs w:val="24"/>
          <w:vertAlign w:val="superscript"/>
        </w:rPr>
        <w:footnoteReference w:id="1"/>
      </w:r>
      <w:r w:rsidRPr="007F7F09">
        <w:rPr>
          <w:rFonts w:ascii="Times New Roman" w:hAnsi="Times New Roman" w:cs="Times New Roman"/>
          <w:sz w:val="24"/>
          <w:szCs w:val="24"/>
        </w:rPr>
        <w:t>.</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A4646E"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Exmo. Sr. Juiz de Direito da ... Vara Cível da Comarca de ...</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Execução n. ...</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w:t>
      </w:r>
      <w:proofErr w:type="gramStart"/>
      <w:r w:rsidRPr="007F7F09">
        <w:rPr>
          <w:rFonts w:ascii="Times New Roman" w:hAnsi="Times New Roman" w:cs="Times New Roman"/>
          <w:sz w:val="24"/>
          <w:szCs w:val="24"/>
        </w:rPr>
        <w:t>nome</w:t>
      </w:r>
      <w:proofErr w:type="gramEnd"/>
      <w:r w:rsidRPr="007F7F09">
        <w:rPr>
          <w:rFonts w:ascii="Times New Roman" w:hAnsi="Times New Roman" w:cs="Times New Roman"/>
          <w:sz w:val="24"/>
          <w:szCs w:val="24"/>
        </w:rPr>
        <w:t xml:space="preserve">), exequente, por seu advogado </w:t>
      </w:r>
      <w:r w:rsidRPr="007F7F09">
        <w:rPr>
          <w:rFonts w:ascii="Times New Roman" w:hAnsi="Times New Roman" w:cs="Times New Roman"/>
          <w:i/>
          <w:iCs/>
          <w:sz w:val="24"/>
          <w:szCs w:val="24"/>
        </w:rPr>
        <w:t>in fine</w:t>
      </w:r>
      <w:r w:rsidRPr="007F7F09">
        <w:rPr>
          <w:rFonts w:ascii="Times New Roman" w:hAnsi="Times New Roman" w:cs="Times New Roman"/>
          <w:sz w:val="24"/>
          <w:szCs w:val="24"/>
        </w:rPr>
        <w:t xml:space="preserve"> assinado, nos autos da execução epigrafada que promove contra ..., com fulcro no art. </w:t>
      </w:r>
      <w:r w:rsidR="00702363" w:rsidRPr="007F7F09">
        <w:rPr>
          <w:rFonts w:ascii="Times New Roman" w:hAnsi="Times New Roman" w:cs="Times New Roman"/>
          <w:sz w:val="24"/>
          <w:szCs w:val="24"/>
        </w:rPr>
        <w:t>851</w:t>
      </w:r>
      <w:r w:rsidRPr="007F7F09">
        <w:rPr>
          <w:rFonts w:ascii="Times New Roman" w:hAnsi="Times New Roman" w:cs="Times New Roman"/>
          <w:sz w:val="24"/>
          <w:szCs w:val="24"/>
        </w:rPr>
        <w:t>, inciso III, do CPC, vem, respeitosamente, requerer A REALIZAÇÃO DE SEGUNDA PENHORA, pelo que passa a aduzir:</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 xml:space="preserve">1. Verifica-se na matrícula n. .... </w:t>
      </w:r>
      <w:proofErr w:type="gramStart"/>
      <w:r w:rsidRPr="007F7F09">
        <w:rPr>
          <w:rFonts w:ascii="Times New Roman" w:hAnsi="Times New Roman" w:cs="Times New Roman"/>
          <w:sz w:val="24"/>
          <w:szCs w:val="24"/>
        </w:rPr>
        <w:t>do</w:t>
      </w:r>
      <w:proofErr w:type="gramEnd"/>
      <w:r w:rsidRPr="007F7F09">
        <w:rPr>
          <w:rFonts w:ascii="Times New Roman" w:hAnsi="Times New Roman" w:cs="Times New Roman"/>
          <w:sz w:val="24"/>
          <w:szCs w:val="24"/>
        </w:rPr>
        <w:t xml:space="preserve"> imóvel penhorado, expedida pelo Cartório do ... Ofício de Registro de Imóveis da Comarca de ..., que sobre referido bem já constam anteriormente averbadas 02 (duas) penhoras oriundas de execuções fiscais, cujos valores exequendos equivalem à avaliação do próprio bem.</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2. Assim, infere-se que a penhora realizada nesses autos restou prejudicada e sem constituir efetivamente uma garantia do juízo.</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3. O executado por seu turno é proprietário de outros bens, a saber: ...</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 xml:space="preserve">4. </w:t>
      </w:r>
      <w:proofErr w:type="spellStart"/>
      <w:r w:rsidRPr="007F7F09">
        <w:rPr>
          <w:rFonts w:ascii="Times New Roman" w:hAnsi="Times New Roman" w:cs="Times New Roman"/>
          <w:b/>
          <w:i/>
          <w:sz w:val="24"/>
          <w:szCs w:val="24"/>
        </w:rPr>
        <w:t>Ex</w:t>
      </w:r>
      <w:proofErr w:type="spellEnd"/>
      <w:r w:rsidRPr="007F7F09">
        <w:rPr>
          <w:rFonts w:ascii="Times New Roman" w:hAnsi="Times New Roman" w:cs="Times New Roman"/>
          <w:b/>
          <w:i/>
          <w:sz w:val="24"/>
          <w:szCs w:val="24"/>
        </w:rPr>
        <w:t xml:space="preserve"> positis,</w:t>
      </w:r>
      <w:r w:rsidRPr="007F7F09">
        <w:rPr>
          <w:rFonts w:ascii="Times New Roman" w:hAnsi="Times New Roman" w:cs="Times New Roman"/>
          <w:sz w:val="24"/>
          <w:szCs w:val="24"/>
        </w:rPr>
        <w:t xml:space="preserve"> o exequente requer:</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a) seja expedido mandado de penhora e avaliação, que será cumprido sobre o imóvel de propriedade do executado, constituído pelo ...;</w:t>
      </w:r>
    </w:p>
    <w:p w:rsidR="00ED7542" w:rsidRPr="007F7F09" w:rsidRDefault="00ED7542" w:rsidP="007F7F09">
      <w:pPr>
        <w:pStyle w:val="Texto"/>
        <w:ind w:right="-427"/>
        <w:rPr>
          <w:rFonts w:ascii="Times New Roman" w:hAnsi="Times New Roman" w:cs="Times New Roman"/>
          <w:sz w:val="24"/>
          <w:szCs w:val="24"/>
        </w:rPr>
      </w:pPr>
    </w:p>
    <w:p w:rsidR="00ED7542" w:rsidRPr="007F7F09" w:rsidRDefault="00ED7542" w:rsidP="007F7F09">
      <w:pPr>
        <w:pStyle w:val="Texto"/>
        <w:ind w:right="-427"/>
        <w:rPr>
          <w:rFonts w:ascii="Times New Roman" w:hAnsi="Times New Roman" w:cs="Times New Roman"/>
          <w:sz w:val="24"/>
          <w:szCs w:val="24"/>
        </w:rPr>
      </w:pPr>
      <w:r w:rsidRPr="007F7F09">
        <w:rPr>
          <w:rFonts w:ascii="Times New Roman" w:hAnsi="Times New Roman" w:cs="Times New Roman"/>
          <w:sz w:val="24"/>
          <w:szCs w:val="24"/>
        </w:rPr>
        <w:t>b) após cumprido o mandado retro, seja desconstituída a penhora anterior, oficiando seu cancelamento ao cartório de registro de imóveis competente.</w:t>
      </w:r>
    </w:p>
    <w:p w:rsidR="00ED7542" w:rsidRPr="007F7F09" w:rsidRDefault="00ED7542" w:rsidP="007F7F09">
      <w:pPr>
        <w:pStyle w:val="Centralizado"/>
        <w:ind w:right="-427"/>
        <w:rPr>
          <w:rFonts w:ascii="Times New Roman" w:hAnsi="Times New Roman" w:cs="Times New Roman"/>
          <w:sz w:val="24"/>
          <w:szCs w:val="24"/>
        </w:rPr>
      </w:pPr>
    </w:p>
    <w:p w:rsidR="00702363" w:rsidRPr="007F7F09" w:rsidRDefault="00ED7542" w:rsidP="007F7F09">
      <w:pPr>
        <w:pStyle w:val="Centralizado"/>
        <w:ind w:right="-427"/>
        <w:rPr>
          <w:rFonts w:ascii="Times New Roman" w:hAnsi="Times New Roman" w:cs="Times New Roman"/>
          <w:sz w:val="24"/>
          <w:szCs w:val="24"/>
        </w:rPr>
      </w:pPr>
      <w:r w:rsidRPr="007F7F09">
        <w:rPr>
          <w:rFonts w:ascii="Times New Roman" w:hAnsi="Times New Roman" w:cs="Times New Roman"/>
          <w:sz w:val="24"/>
          <w:szCs w:val="24"/>
        </w:rPr>
        <w:t>P. Deferimento.</w:t>
      </w:r>
    </w:p>
    <w:p w:rsidR="00ED7542" w:rsidRPr="007F7F09" w:rsidRDefault="00ED7542" w:rsidP="007F7F09">
      <w:pPr>
        <w:pStyle w:val="Centralizado"/>
        <w:ind w:right="-427"/>
        <w:rPr>
          <w:rFonts w:ascii="Times New Roman" w:hAnsi="Times New Roman" w:cs="Times New Roman"/>
          <w:sz w:val="24"/>
          <w:szCs w:val="24"/>
        </w:rPr>
      </w:pPr>
      <w:r w:rsidRPr="007F7F09">
        <w:rPr>
          <w:rFonts w:ascii="Times New Roman" w:hAnsi="Times New Roman" w:cs="Times New Roman"/>
          <w:sz w:val="24"/>
          <w:szCs w:val="24"/>
        </w:rPr>
        <w:t>(Local e data)</w:t>
      </w:r>
    </w:p>
    <w:p w:rsidR="00ED7542" w:rsidRPr="007F7F09" w:rsidRDefault="00ED7542" w:rsidP="007F7F09">
      <w:pPr>
        <w:pStyle w:val="Centralizado"/>
        <w:ind w:right="-427"/>
        <w:rPr>
          <w:rFonts w:ascii="Times New Roman" w:hAnsi="Times New Roman" w:cs="Times New Roman"/>
          <w:sz w:val="24"/>
          <w:szCs w:val="24"/>
        </w:rPr>
      </w:pPr>
      <w:r w:rsidRPr="007F7F09">
        <w:rPr>
          <w:rFonts w:ascii="Times New Roman" w:hAnsi="Times New Roman" w:cs="Times New Roman"/>
          <w:sz w:val="24"/>
          <w:szCs w:val="24"/>
        </w:rPr>
        <w:t>(Assinatura e OAB do Advogado)</w:t>
      </w:r>
    </w:p>
    <w:p w:rsidR="007D200E" w:rsidRPr="007F7F09" w:rsidRDefault="007D200E" w:rsidP="007F7F09">
      <w:pPr>
        <w:ind w:right="-427"/>
        <w:rPr>
          <w:sz w:val="24"/>
          <w:szCs w:val="24"/>
        </w:rPr>
      </w:pPr>
    </w:p>
    <w:sectPr w:rsidR="007D200E" w:rsidRPr="007F7F09" w:rsidSect="00CC0D4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A89" w:rsidRDefault="005A6A89" w:rsidP="00ED7542">
      <w:pPr>
        <w:spacing w:after="0" w:line="240" w:lineRule="auto"/>
      </w:pPr>
      <w:r>
        <w:separator/>
      </w:r>
    </w:p>
  </w:endnote>
  <w:endnote w:type="continuationSeparator" w:id="0">
    <w:p w:rsidR="005A6A89" w:rsidRDefault="005A6A89" w:rsidP="00ED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A89" w:rsidRDefault="005A6A89" w:rsidP="00ED7542">
      <w:pPr>
        <w:spacing w:after="0" w:line="240" w:lineRule="auto"/>
      </w:pPr>
      <w:r>
        <w:separator/>
      </w:r>
    </w:p>
  </w:footnote>
  <w:footnote w:type="continuationSeparator" w:id="0">
    <w:p w:rsidR="005A6A89" w:rsidRDefault="005A6A89" w:rsidP="00ED7542">
      <w:pPr>
        <w:spacing w:after="0" w:line="240" w:lineRule="auto"/>
      </w:pPr>
      <w:r>
        <w:continuationSeparator/>
      </w:r>
    </w:p>
  </w:footnote>
  <w:footnote w:id="1">
    <w:p w:rsidR="00ED7542" w:rsidRPr="00CA15E2" w:rsidRDefault="00ED7542" w:rsidP="007F7F09">
      <w:pPr>
        <w:pStyle w:val="Rodap"/>
        <w:tabs>
          <w:tab w:val="left" w:pos="142"/>
          <w:tab w:val="right" w:pos="9356"/>
        </w:tabs>
        <w:ind w:right="-427"/>
        <w:jc w:val="both"/>
        <w:rPr>
          <w:sz w:val="20"/>
          <w:szCs w:val="20"/>
        </w:rPr>
      </w:pPr>
      <w:r w:rsidRPr="00ED7542">
        <w:rPr>
          <w:sz w:val="20"/>
          <w:szCs w:val="20"/>
          <w:vertAlign w:val="superscript"/>
        </w:rPr>
        <w:footnoteRef/>
      </w:r>
      <w:r w:rsidR="00CA15E2" w:rsidRPr="00CA15E2">
        <w:rPr>
          <w:b/>
          <w:bCs/>
          <w:sz w:val="20"/>
          <w:szCs w:val="20"/>
        </w:rPr>
        <w:t xml:space="preserve">Art. 851.  </w:t>
      </w:r>
      <w:r w:rsidR="00CA15E2" w:rsidRPr="00CA15E2">
        <w:rPr>
          <w:bCs/>
          <w:sz w:val="20"/>
          <w:szCs w:val="20"/>
        </w:rPr>
        <w:t>Não se procede à segunda penhora, salvo se:</w:t>
      </w:r>
      <w:r w:rsidR="00FC0D35">
        <w:rPr>
          <w:bCs/>
          <w:sz w:val="20"/>
          <w:szCs w:val="20"/>
        </w:rPr>
        <w:t xml:space="preserve"> </w:t>
      </w:r>
      <w:r w:rsidR="00CA15E2" w:rsidRPr="00CA15E2">
        <w:rPr>
          <w:bCs/>
          <w:sz w:val="20"/>
          <w:szCs w:val="20"/>
        </w:rPr>
        <w:t>I - a primeira for anulada;</w:t>
      </w:r>
      <w:r w:rsidR="00FC0D35">
        <w:rPr>
          <w:bCs/>
          <w:sz w:val="20"/>
          <w:szCs w:val="20"/>
        </w:rPr>
        <w:t xml:space="preserve"> </w:t>
      </w:r>
      <w:r w:rsidR="00CA15E2" w:rsidRPr="00CA15E2">
        <w:rPr>
          <w:bCs/>
          <w:sz w:val="20"/>
          <w:szCs w:val="20"/>
        </w:rPr>
        <w:t>II - executados os bens, o produto da alienação não bastar para o pagamento do exequente;</w:t>
      </w:r>
      <w:r w:rsidR="00FC0D35">
        <w:rPr>
          <w:bCs/>
          <w:sz w:val="20"/>
          <w:szCs w:val="20"/>
        </w:rPr>
        <w:t xml:space="preserve"> </w:t>
      </w:r>
      <w:r w:rsidR="00CA15E2" w:rsidRPr="00CA15E2">
        <w:rPr>
          <w:bCs/>
          <w:sz w:val="20"/>
          <w:szCs w:val="20"/>
        </w:rPr>
        <w:t>III - o exequente desistir da primeira penhora, por serem litigiosos os bens ou por estarem submetidos a constrição judicial.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42"/>
    <w:rsid w:val="000C3A15"/>
    <w:rsid w:val="00137549"/>
    <w:rsid w:val="001B2E75"/>
    <w:rsid w:val="00501DD7"/>
    <w:rsid w:val="005A6A89"/>
    <w:rsid w:val="005F7C0B"/>
    <w:rsid w:val="0065745D"/>
    <w:rsid w:val="00702363"/>
    <w:rsid w:val="007D200E"/>
    <w:rsid w:val="007F70DB"/>
    <w:rsid w:val="007F7F09"/>
    <w:rsid w:val="00811ACF"/>
    <w:rsid w:val="00837DB7"/>
    <w:rsid w:val="00841136"/>
    <w:rsid w:val="00A41963"/>
    <w:rsid w:val="00A4646E"/>
    <w:rsid w:val="00AD0824"/>
    <w:rsid w:val="00B61EE2"/>
    <w:rsid w:val="00C32AD8"/>
    <w:rsid w:val="00CA15E2"/>
    <w:rsid w:val="00CC0D4E"/>
    <w:rsid w:val="00CE5CAE"/>
    <w:rsid w:val="00D1505F"/>
    <w:rsid w:val="00DD5B13"/>
    <w:rsid w:val="00E0439B"/>
    <w:rsid w:val="00ED7542"/>
    <w:rsid w:val="00FC0D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B18E"/>
  <w15:docId w15:val="{5206F863-CFE4-4480-A896-771A3EDF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ED7542"/>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ED7542"/>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ED7542"/>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ED7542"/>
    <w:rPr>
      <w:rFonts w:ascii="Times New Roman" w:eastAsia="Times New Roman" w:hAnsi="Times New Roman" w:cs="Times New Roman"/>
      <w:sz w:val="24"/>
      <w:szCs w:val="24"/>
      <w:lang w:eastAsia="pt-BR"/>
    </w:rPr>
  </w:style>
  <w:style w:type="paragraph" w:customStyle="1" w:styleId="Texto">
    <w:name w:val="Texto"/>
    <w:basedOn w:val="Normal"/>
    <w:rsid w:val="00ED7542"/>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paragraph" w:customStyle="1" w:styleId="Comentrios">
    <w:name w:val="Comentários"/>
    <w:basedOn w:val="Normal"/>
    <w:rsid w:val="00ED7542"/>
    <w:pPr>
      <w:autoSpaceDE w:val="0"/>
      <w:autoSpaceDN w:val="0"/>
      <w:adjustRightInd w:val="0"/>
      <w:spacing w:after="0" w:line="240" w:lineRule="atLeast"/>
      <w:ind w:left="227"/>
      <w:jc w:val="both"/>
      <w:textAlignment w:val="center"/>
    </w:pPr>
    <w:rPr>
      <w:rFonts w:ascii="Garamond" w:eastAsia="Times New Roman" w:hAnsi="Garamond" w:cs="Garamond"/>
      <w:color w:val="000000"/>
      <w:sz w:val="20"/>
      <w:szCs w:val="20"/>
      <w:lang w:eastAsia="pt-BR"/>
    </w:rPr>
  </w:style>
  <w:style w:type="paragraph" w:customStyle="1" w:styleId="Centralizado">
    <w:name w:val="Centralizado"/>
    <w:basedOn w:val="Normal"/>
    <w:rsid w:val="00ED7542"/>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1202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2020-06-29T13:30:00Z</dcterms:created>
  <dcterms:modified xsi:type="dcterms:W3CDTF">2020-08-24T19:32:00Z</dcterms:modified>
</cp:coreProperties>
</file>