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CFFC" w14:textId="77777777" w:rsidR="008271ED" w:rsidRDefault="008271ED" w:rsidP="00511459">
      <w:pPr>
        <w:tabs>
          <w:tab w:val="left" w:pos="0"/>
        </w:tabs>
        <w:ind w:left="0" w:right="-568"/>
        <w:jc w:val="center"/>
        <w:rPr>
          <w:rFonts w:ascii="Arial Black" w:hAnsi="Arial Black" w:cs="Times New Roman"/>
          <w:b/>
          <w:spacing w:val="0"/>
          <w:sz w:val="24"/>
          <w:szCs w:val="24"/>
        </w:rPr>
      </w:pPr>
      <w:r>
        <w:rPr>
          <w:rFonts w:ascii="Arial Black" w:hAnsi="Arial Black" w:cs="Times New Roman"/>
          <w:b/>
          <w:spacing w:val="0"/>
          <w:sz w:val="24"/>
          <w:szCs w:val="24"/>
        </w:rPr>
        <w:t>MODELO DE PETIÇÃO</w:t>
      </w:r>
    </w:p>
    <w:p w14:paraId="67CEEDF4" w14:textId="46727E77" w:rsidR="00511459" w:rsidRDefault="004B6799" w:rsidP="00511459">
      <w:pPr>
        <w:tabs>
          <w:tab w:val="left" w:pos="0"/>
        </w:tabs>
        <w:ind w:left="0" w:right="-568"/>
        <w:jc w:val="center"/>
        <w:rPr>
          <w:rFonts w:ascii="Arial Black" w:hAnsi="Arial Black" w:cs="Times New Roman"/>
          <w:b/>
          <w:spacing w:val="0"/>
          <w:sz w:val="24"/>
          <w:szCs w:val="24"/>
        </w:rPr>
      </w:pPr>
      <w:r>
        <w:rPr>
          <w:rFonts w:ascii="Arial Black" w:hAnsi="Arial Black"/>
          <w:b/>
          <w:sz w:val="24"/>
          <w:szCs w:val="24"/>
        </w:rPr>
        <w:t xml:space="preserve">PROCESSO CIVIL. </w:t>
      </w:r>
      <w:r w:rsidR="00D86C77">
        <w:rPr>
          <w:rFonts w:ascii="Arial Black" w:hAnsi="Arial Black" w:cs="Times New Roman"/>
          <w:b/>
          <w:spacing w:val="0"/>
          <w:sz w:val="24"/>
          <w:szCs w:val="24"/>
        </w:rPr>
        <w:t xml:space="preserve">COMPETÊNCIA. AÇÃO ANULATÓRIA. CONTRATO. DIREITO PESSOAL. </w:t>
      </w:r>
      <w:r w:rsidR="00511459" w:rsidRPr="00511459">
        <w:rPr>
          <w:rFonts w:ascii="Arial Black" w:hAnsi="Arial Black" w:cs="Times New Roman"/>
          <w:b/>
          <w:spacing w:val="0"/>
          <w:sz w:val="24"/>
          <w:szCs w:val="24"/>
        </w:rPr>
        <w:t>AGRAVO DE INSTRUMENTO</w:t>
      </w:r>
    </w:p>
    <w:p w14:paraId="088B87AE" w14:textId="77777777" w:rsidR="008271ED" w:rsidRDefault="008271ED" w:rsidP="008271ED">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6BE0D01C" w14:textId="77777777" w:rsidR="00511459" w:rsidRDefault="00511459" w:rsidP="00C52D75">
      <w:pPr>
        <w:tabs>
          <w:tab w:val="left" w:pos="0"/>
        </w:tabs>
        <w:ind w:left="0" w:right="-568"/>
        <w:rPr>
          <w:rFonts w:ascii="Times New Roman" w:hAnsi="Times New Roman" w:cs="Times New Roman"/>
          <w:spacing w:val="0"/>
          <w:sz w:val="24"/>
          <w:szCs w:val="24"/>
        </w:rPr>
      </w:pPr>
    </w:p>
    <w:p w14:paraId="2A9CC154" w14:textId="77777777" w:rsid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E</w:t>
      </w:r>
      <w:r>
        <w:rPr>
          <w:rFonts w:ascii="Times New Roman" w:hAnsi="Times New Roman" w:cs="Times New Roman"/>
          <w:spacing w:val="0"/>
          <w:sz w:val="24"/>
          <w:szCs w:val="24"/>
        </w:rPr>
        <w:t>xmo. Sr. Desembargador do Tribunal de Justiça de ...</w:t>
      </w:r>
    </w:p>
    <w:p w14:paraId="5AB1706E"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4331FA6"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(nome, endereço, CNPJ), por seu</w:t>
      </w:r>
      <w:r w:rsidRPr="00C52D75">
        <w:rPr>
          <w:rFonts w:ascii="Times New Roman" w:hAnsi="Times New Roman" w:cs="Times New Roman"/>
          <w:spacing w:val="0"/>
          <w:sz w:val="24"/>
          <w:szCs w:val="24"/>
        </w:rPr>
        <w:t xml:space="preserve"> advo</w:t>
      </w:r>
      <w:r>
        <w:rPr>
          <w:rFonts w:ascii="Times New Roman" w:hAnsi="Times New Roman" w:cs="Times New Roman"/>
          <w:spacing w:val="0"/>
          <w:sz w:val="24"/>
          <w:szCs w:val="24"/>
        </w:rPr>
        <w:t>gado</w:t>
      </w:r>
      <w:r w:rsidRPr="00C52D75">
        <w:rPr>
          <w:rFonts w:ascii="Times New Roman" w:hAnsi="Times New Roman" w:cs="Times New Roman"/>
          <w:spacing w:val="0"/>
          <w:sz w:val="24"/>
          <w:szCs w:val="24"/>
        </w:rPr>
        <w:t xml:space="preserve"> </w:t>
      </w:r>
      <w:r w:rsidRPr="00C52D75">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w:t>
      </w:r>
      <w:r w:rsidRPr="00C52D75">
        <w:rPr>
          <w:rFonts w:ascii="Times New Roman" w:hAnsi="Times New Roman" w:cs="Times New Roman"/>
          <w:spacing w:val="0"/>
          <w:sz w:val="24"/>
          <w:szCs w:val="24"/>
        </w:rPr>
        <w:t>, vem, respe</w:t>
      </w:r>
      <w:r>
        <w:rPr>
          <w:rFonts w:ascii="Times New Roman" w:hAnsi="Times New Roman" w:cs="Times New Roman"/>
          <w:spacing w:val="0"/>
          <w:sz w:val="24"/>
          <w:szCs w:val="24"/>
        </w:rPr>
        <w:t xml:space="preserve">itosamente, interpor o presente AGRAVO DE INSTRUMENTO (CPC, art. 1.015) </w:t>
      </w:r>
      <w:r w:rsidRPr="00C52D75">
        <w:rPr>
          <w:rFonts w:ascii="Times New Roman" w:hAnsi="Times New Roman" w:cs="Times New Roman"/>
          <w:spacing w:val="0"/>
          <w:sz w:val="24"/>
          <w:szCs w:val="24"/>
        </w:rPr>
        <w:t xml:space="preserve">em face das r. decisões Id </w:t>
      </w:r>
      <w:r>
        <w:rPr>
          <w:rFonts w:ascii="Times New Roman" w:hAnsi="Times New Roman" w:cs="Times New Roman"/>
          <w:spacing w:val="0"/>
          <w:sz w:val="24"/>
          <w:szCs w:val="24"/>
        </w:rPr>
        <w:t>... e ...., proferidas pelo d. juízo da ...</w:t>
      </w:r>
      <w:r w:rsidRPr="00C52D75">
        <w:rPr>
          <w:rFonts w:ascii="Times New Roman" w:hAnsi="Times New Roman" w:cs="Times New Roman"/>
          <w:spacing w:val="0"/>
          <w:sz w:val="24"/>
          <w:szCs w:val="24"/>
        </w:rPr>
        <w:t xml:space="preserve">ª Vara Cível de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na Ação Ordinária (anulação de contratos) n.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que declinou a competência para julgamento do feito para a comarca de </w:t>
      </w:r>
      <w:r>
        <w:rPr>
          <w:rFonts w:ascii="Times New Roman" w:hAnsi="Times New Roman" w:cs="Times New Roman"/>
          <w:spacing w:val="0"/>
          <w:sz w:val="24"/>
          <w:szCs w:val="24"/>
        </w:rPr>
        <w:t>..., ação promovida por ...</w:t>
      </w:r>
      <w:r w:rsidRPr="00C52D75">
        <w:rPr>
          <w:rFonts w:ascii="Times New Roman" w:hAnsi="Times New Roman" w:cs="Times New Roman"/>
          <w:spacing w:val="0"/>
          <w:sz w:val="24"/>
          <w:szCs w:val="24"/>
        </w:rPr>
        <w:t xml:space="preserve">, massa liquidanda, CNPJ n.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com sede na Rua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º andar, bairro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pelas razões de direito adiante articuladas: </w:t>
      </w:r>
    </w:p>
    <w:p w14:paraId="18520E88"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F04281D"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C52D75">
        <w:rPr>
          <w:rFonts w:ascii="Times New Roman" w:hAnsi="Times New Roman" w:cs="Times New Roman"/>
          <w:spacing w:val="0"/>
          <w:sz w:val="24"/>
          <w:szCs w:val="24"/>
        </w:rPr>
        <w:t>PREÂMBULO</w:t>
      </w:r>
    </w:p>
    <w:p w14:paraId="7D83968E"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C33C45D"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CABIMENTO DO AGRAVO DE INSTRUMENTO CONTRA DECISÃO DE MODIFICAÇÃO DE COMPETÊNCIA -</w:t>
      </w:r>
    </w:p>
    <w:p w14:paraId="29010A8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7FD1E8E"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C52D75">
        <w:rPr>
          <w:rFonts w:ascii="Times New Roman" w:hAnsi="Times New Roman" w:cs="Times New Roman"/>
          <w:spacing w:val="0"/>
          <w:sz w:val="24"/>
          <w:szCs w:val="24"/>
        </w:rPr>
        <w:t>Da leitura integral do Código de Processo Civil de 2015, vê-se que o legislador não especificou qual o recurso cabível contra a decisão que modifica a competência jurisdicional para julgamento do feito, assim como não expressamente incluiu tal hipótese no rol do artigo 1.015 da lei processual.</w:t>
      </w:r>
    </w:p>
    <w:p w14:paraId="3489F4B2"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B7D129A"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C52D75">
        <w:rPr>
          <w:rFonts w:ascii="Times New Roman" w:hAnsi="Times New Roman" w:cs="Times New Roman"/>
          <w:spacing w:val="0"/>
          <w:sz w:val="24"/>
          <w:szCs w:val="24"/>
        </w:rPr>
        <w:t>Todavia, a reincidência de casos como o presente fizeram exsurgir na doutrina e na jurisprudência o entendimento de que é cabível agravo de instrumento contra decisão que modifica/declina competência.</w:t>
      </w:r>
    </w:p>
    <w:p w14:paraId="783F71C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4FD360A"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C52D75">
        <w:rPr>
          <w:rFonts w:ascii="Times New Roman" w:hAnsi="Times New Roman" w:cs="Times New Roman"/>
          <w:spacing w:val="0"/>
          <w:sz w:val="24"/>
          <w:szCs w:val="24"/>
        </w:rPr>
        <w:t>A interpretação extensiva tem como base o inciso III do art. 1.015, o qual prevê o cabimento do agravo em caso de rejeição da convenção de arbitragem, matéria que também tem natureza de "</w:t>
      </w:r>
      <w:r w:rsidRPr="00C52D75">
        <w:rPr>
          <w:rFonts w:ascii="Times New Roman" w:hAnsi="Times New Roman" w:cs="Times New Roman"/>
          <w:i/>
          <w:spacing w:val="0"/>
          <w:sz w:val="24"/>
          <w:szCs w:val="24"/>
        </w:rPr>
        <w:t>modificação de competência</w:t>
      </w:r>
      <w:r w:rsidRPr="00C52D75">
        <w:rPr>
          <w:rFonts w:ascii="Times New Roman" w:hAnsi="Times New Roman" w:cs="Times New Roman"/>
          <w:spacing w:val="0"/>
          <w:sz w:val="24"/>
          <w:szCs w:val="24"/>
        </w:rPr>
        <w:t>".</w:t>
      </w:r>
    </w:p>
    <w:p w14:paraId="710EE796"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3D74A0B"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C52D75">
        <w:rPr>
          <w:rFonts w:ascii="Times New Roman" w:hAnsi="Times New Roman" w:cs="Times New Roman"/>
          <w:spacing w:val="0"/>
          <w:sz w:val="24"/>
          <w:szCs w:val="24"/>
        </w:rPr>
        <w:t>Segundo FREDIE DIDIER JR. e LEONARDO CARNEIRO</w:t>
      </w:r>
      <w:r w:rsidR="008F1C04">
        <w:rPr>
          <w:rFonts w:ascii="Times New Roman" w:hAnsi="Times New Roman" w:cs="Times New Roman"/>
          <w:spacing w:val="0"/>
          <w:sz w:val="24"/>
          <w:szCs w:val="24"/>
        </w:rPr>
        <w:t xml:space="preserve"> DA CUNHA</w:t>
      </w:r>
      <w:r w:rsidR="008F1C04">
        <w:rPr>
          <w:rStyle w:val="Refdenotaderodap"/>
          <w:rFonts w:ascii="Times New Roman" w:hAnsi="Times New Roman" w:cs="Times New Roman"/>
          <w:spacing w:val="0"/>
          <w:sz w:val="24"/>
          <w:szCs w:val="24"/>
        </w:rPr>
        <w:footnoteReference w:id="1"/>
      </w:r>
      <w:r w:rsidRPr="00C52D75">
        <w:rPr>
          <w:rFonts w:ascii="Times New Roman" w:hAnsi="Times New Roman" w:cs="Times New Roman"/>
          <w:spacing w:val="0"/>
          <w:sz w:val="24"/>
          <w:szCs w:val="24"/>
        </w:rPr>
        <w:t xml:space="preserve">: </w:t>
      </w:r>
    </w:p>
    <w:p w14:paraId="55407F35"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65CEDB8" w14:textId="77777777" w:rsidR="00C52D75" w:rsidRPr="00C52D75" w:rsidRDefault="00C52D75" w:rsidP="00C52D75">
      <w:pPr>
        <w:tabs>
          <w:tab w:val="left" w:pos="0"/>
        </w:tabs>
        <w:ind w:left="0" w:right="-568"/>
        <w:rPr>
          <w:rFonts w:ascii="Times New Roman" w:hAnsi="Times New Roman" w:cs="Times New Roman"/>
          <w:i/>
          <w:spacing w:val="0"/>
          <w:sz w:val="24"/>
          <w:szCs w:val="24"/>
        </w:rPr>
      </w:pPr>
      <w:r w:rsidRPr="00C52D75">
        <w:rPr>
          <w:rFonts w:ascii="Times New Roman" w:hAnsi="Times New Roman" w:cs="Times New Roman"/>
          <w:spacing w:val="0"/>
          <w:sz w:val="24"/>
          <w:szCs w:val="24"/>
        </w:rPr>
        <w:t>"</w:t>
      </w:r>
      <w:r w:rsidRPr="00C52D75">
        <w:rPr>
          <w:rFonts w:ascii="Times New Roman" w:hAnsi="Times New Roman" w:cs="Times New Roman"/>
          <w:i/>
          <w:spacing w:val="0"/>
          <w:sz w:val="24"/>
          <w:szCs w:val="24"/>
        </w:rPr>
        <w:t>A decisão relativa à convenção de arbitragem é uma decisão que trata de competência. Se a decisão que rejeita a alegação de convenção de arbitragem é agravável, também deve ser agravável a que trata de uma competência, relativa ou absoluta. (...). Embora taxativas as hipóteses de agravo de instrumento, aquela indicada no inciso III do art. 1015 comporta interpretação extensiva para incluir a decisão que versa sobre competência</w:t>
      </w:r>
    </w:p>
    <w:p w14:paraId="56188109"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i/>
          <w:spacing w:val="0"/>
          <w:sz w:val="24"/>
          <w:szCs w:val="24"/>
        </w:rPr>
        <w:t>As hipóteses de cabimento de agravo de instrumento são taxativas, o que não impede a interpretação extensiva de algumas daquelas hipóteses. A decisão que rejeita a convenção de arbitragem é uma decisão sobre competência, não sendo razoável afastar qualquer decisão sobre competência do rol de decisões agraváveis, pois são hipóteses semelhantes, que se aproximam, devendo receber a devida graduação e submeter-se ao mesmo tratamento normativo. Pela mesma razão, é preciso interpretar o inc. III do art. 1.015 do CPC/2015 para abranger as decisões interlocutórias que versam sobre competência</w:t>
      </w:r>
      <w:r w:rsidRPr="00C52D75">
        <w:rPr>
          <w:rFonts w:ascii="Times New Roman" w:hAnsi="Times New Roman" w:cs="Times New Roman"/>
          <w:spacing w:val="0"/>
          <w:sz w:val="24"/>
          <w:szCs w:val="24"/>
        </w:rPr>
        <w:t>".</w:t>
      </w:r>
    </w:p>
    <w:p w14:paraId="051B2445"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D4B110D"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C52D75">
        <w:rPr>
          <w:rFonts w:ascii="Times New Roman" w:hAnsi="Times New Roman" w:cs="Times New Roman"/>
          <w:spacing w:val="0"/>
          <w:sz w:val="24"/>
          <w:szCs w:val="24"/>
        </w:rPr>
        <w:t xml:space="preserve">Filiam-se a esse entendimento TERESA ARRUDA ALVIM </w:t>
      </w:r>
      <w:r w:rsidR="008F1C04">
        <w:rPr>
          <w:rStyle w:val="Refdenotaderodap"/>
          <w:rFonts w:ascii="Times New Roman" w:hAnsi="Times New Roman" w:cs="Times New Roman"/>
          <w:spacing w:val="0"/>
          <w:sz w:val="24"/>
          <w:szCs w:val="24"/>
        </w:rPr>
        <w:footnoteReference w:id="2"/>
      </w:r>
      <w:r w:rsidRPr="00C52D75">
        <w:rPr>
          <w:rFonts w:ascii="Times New Roman" w:hAnsi="Times New Roman" w:cs="Times New Roman"/>
          <w:spacing w:val="0"/>
          <w:sz w:val="24"/>
          <w:szCs w:val="24"/>
        </w:rPr>
        <w:t>:</w:t>
      </w:r>
    </w:p>
    <w:p w14:paraId="43DA2372"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28EB2D8"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w:t>
      </w:r>
      <w:r w:rsidRPr="00C52D75">
        <w:rPr>
          <w:rFonts w:ascii="Times New Roman" w:hAnsi="Times New Roman" w:cs="Times New Roman"/>
          <w:i/>
          <w:spacing w:val="0"/>
          <w:sz w:val="24"/>
          <w:szCs w:val="24"/>
        </w:rPr>
        <w:t>no entanto, apesar de se tratar de enumeração taxativa, nada impede que se dê interpretação extensiva aos incisos do art. 1015. Por isso, é que, muito provavelmente, as exigências do dia a dia farão com que surjam outras hipóteses de cabimento de agravo, que não estão previstas expressamente no art. 1015, mas podem-se considerar abrangidas pela via da interpretação extensiva. Um bom exemplo é o dado por Fredie Didier e Leonardo Carneiro da Cunha: se a decisão que rejeita a convenção de arbitragem é recorrível de agravo (art. 1015, III), também deve ser agravável a que dispõe sobre a competência (relativa ou absoluta), pois são situações muito semelhantes</w:t>
      </w:r>
      <w:r>
        <w:rPr>
          <w:rFonts w:ascii="Times New Roman" w:hAnsi="Times New Roman" w:cs="Times New Roman"/>
          <w:spacing w:val="0"/>
          <w:sz w:val="24"/>
          <w:szCs w:val="24"/>
        </w:rPr>
        <w:t xml:space="preserve">"; </w:t>
      </w:r>
      <w:r w:rsidR="00511459">
        <w:rPr>
          <w:rFonts w:ascii="Times New Roman" w:hAnsi="Times New Roman" w:cs="Times New Roman"/>
          <w:spacing w:val="0"/>
          <w:sz w:val="24"/>
          <w:szCs w:val="24"/>
        </w:rPr>
        <w:t>e MISAEL MONTENEGRO FILHO</w:t>
      </w:r>
      <w:r w:rsidR="00511459">
        <w:rPr>
          <w:rStyle w:val="Refdenotaderodap"/>
          <w:rFonts w:ascii="Times New Roman" w:hAnsi="Times New Roman" w:cs="Times New Roman"/>
          <w:spacing w:val="0"/>
          <w:sz w:val="24"/>
          <w:szCs w:val="24"/>
        </w:rPr>
        <w:footnoteReference w:id="3"/>
      </w:r>
      <w:r w:rsidRPr="00C52D75">
        <w:rPr>
          <w:rFonts w:ascii="Times New Roman" w:hAnsi="Times New Roman" w:cs="Times New Roman"/>
          <w:spacing w:val="0"/>
          <w:sz w:val="24"/>
          <w:szCs w:val="24"/>
        </w:rPr>
        <w:t xml:space="preserve">: </w:t>
      </w:r>
    </w:p>
    <w:p w14:paraId="576FC78F"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647908A"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w:t>
      </w:r>
      <w:r w:rsidRPr="00C52D75">
        <w:rPr>
          <w:rFonts w:ascii="Times New Roman" w:hAnsi="Times New Roman" w:cs="Times New Roman"/>
          <w:i/>
          <w:spacing w:val="0"/>
          <w:sz w:val="24"/>
          <w:szCs w:val="24"/>
        </w:rPr>
        <w:t>a interposição do recurso de agravo de instrumento é possível em algumas situações não pensadas pelo legislador infraconstitucional, como para combater a decisão do magistrado que reconhece a sua incompetência para processar e julgar a causa</w:t>
      </w:r>
      <w:r>
        <w:rPr>
          <w:rFonts w:ascii="Times New Roman" w:hAnsi="Times New Roman" w:cs="Times New Roman"/>
          <w:spacing w:val="0"/>
          <w:sz w:val="24"/>
          <w:szCs w:val="24"/>
        </w:rPr>
        <w:t>.</w:t>
      </w:r>
      <w:r w:rsidRPr="00C52D75">
        <w:rPr>
          <w:rFonts w:ascii="Times New Roman" w:hAnsi="Times New Roman" w:cs="Times New Roman"/>
          <w:spacing w:val="0"/>
          <w:sz w:val="24"/>
          <w:szCs w:val="24"/>
        </w:rPr>
        <w:t>"</w:t>
      </w:r>
    </w:p>
    <w:p w14:paraId="3280E4F0"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5DB86C2"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C52D75">
        <w:rPr>
          <w:rFonts w:ascii="Times New Roman" w:hAnsi="Times New Roman" w:cs="Times New Roman"/>
          <w:spacing w:val="0"/>
          <w:sz w:val="24"/>
          <w:szCs w:val="24"/>
        </w:rPr>
        <w:t>A interpretação extensiva do art. 1.015, inc. III, do CPC/2015 já foi amplamente adotada pelo eg. SUPERIOR TRIBUNA DE JUSTIÇA e pelo c. TRIBUNAL DE JUSTIÇA DE MINAS GERAIS:</w:t>
      </w:r>
    </w:p>
    <w:p w14:paraId="21CD837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4392E8A" w14:textId="77777777" w:rsid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STJ</w:t>
      </w:r>
    </w:p>
    <w:p w14:paraId="00BB5AD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E97F957"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w:t>
      </w:r>
      <w:r w:rsidRPr="00C52D75">
        <w:rPr>
          <w:rFonts w:ascii="Times New Roman" w:hAnsi="Times New Roman" w:cs="Times New Roman"/>
          <w:i/>
          <w:spacing w:val="0"/>
          <w:sz w:val="24"/>
          <w:szCs w:val="24"/>
        </w:rPr>
        <w:t>5. Apesar de não previsto expressamente no rol do art. 1.015 do CPC/2015, a decisão interlocutória relacionada à definição de competência continua desafiando recurso de agravo de instrumento, por uma interpretação analógica ou extensiva da norma contida no inciso III do art. 1.015 do CPC/2015, já que ambas possuem a mesma ratio -, qual seja, afastar o juízo incompetente para a causa, permitindo que o juízo natural e adequado julgue a demanda</w:t>
      </w:r>
      <w:r w:rsidRPr="00C52D7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 xml:space="preserve">(STJ - REsp 1679909/RS, Rel. Ministro LUIS FELIPE SALOMÃO, QUARTA TURMA, julgado em 14/11/2017, DJe 01/02/2018) (Grifos meus). </w:t>
      </w:r>
    </w:p>
    <w:p w14:paraId="17454A4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583FA307" w14:textId="77777777" w:rsid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TJMG</w:t>
      </w:r>
    </w:p>
    <w:p w14:paraId="1C5E373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5784DAE" w14:textId="77777777" w:rsid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C52D75">
        <w:rPr>
          <w:rFonts w:ascii="Times New Roman" w:hAnsi="Times New Roman" w:cs="Times New Roman"/>
          <w:i/>
          <w:spacing w:val="0"/>
          <w:sz w:val="24"/>
          <w:szCs w:val="24"/>
        </w:rPr>
        <w:t>AGRAVO DE INSTRUMENTO - AÇÃO DE RESCISÃO DE CONTRATO DE COMPRA E VENDA DE IMÓVEL - COMPETÊNCIA DECLINADA DE OFÍCIO PARA O FORO ELEITO PELAS PARTES - PREJUÍZO A ESCOLHA DO CONSUMIDOR - IMPOSSIBILIDADE - RELAÇÃO DE CONSUMO - FACULDADE DO CONSUMIDOR. 1.Considerando que a convenção de arbitragem prevista no inciso III do art.1.015 do CPC está ligada estritamente a matéria de competência, cabível a interposição do recurso de agravo de instrumento que trata da mesma 'ratio', ou seja, que tenha conteúdo acerca da definição de competência. (...)</w:t>
      </w:r>
      <w:r w:rsidRPr="00C52D7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(TJMG -  Agravo de Instrumento-Cv  1.0000.18.005016-3/001, Relator(a): Des.(a) Shirley Fenzi Bertão , 11ª CÂMARA CÍVEL, julgamento em 08/08/2018, publicação da súmula em 08/08/2018)</w:t>
      </w:r>
    </w:p>
    <w:p w14:paraId="5349083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3CD176C"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w:t>
      </w:r>
      <w:r w:rsidRPr="00C52D75">
        <w:rPr>
          <w:rFonts w:ascii="Times New Roman" w:hAnsi="Times New Roman" w:cs="Times New Roman"/>
          <w:i/>
          <w:spacing w:val="0"/>
          <w:sz w:val="24"/>
          <w:szCs w:val="24"/>
        </w:rPr>
        <w:t>AGRAVO DE INSTRUMENTO. PRELIMINAR DE NÃO CONHECIMENTO DO RECURSO. REJEIÇÃO. AÇÃO DE COBRANÇA. SEGURO DPVAT. COMPETÊNCIA RELATIVA. DECLARAÇÃO DE OFÍCIO. IMPOSSIBILIDADE. ESCOLHA DO FORO. DIREITO AUTOR. SÚMULA 540 DO STJ. RECURSO PROVIDO. 1. No julgamento do RESP 1679909/RS, o STJ entendeu que não obstante as decisões interlocutórias de declínio de competência não constarem expressamente no rol do art. 1.015 do CPC/15, por interpretação analógica ou extensiva do disposto no inciso III referido artigo, estas continuam desafiando o recurso de agravo de instrumento</w:t>
      </w:r>
      <w:r w:rsidRPr="00C52D7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(TJMG -  Agravo de Instrumento-Cv  1.0000.18.005539-4/001, Relator(a): Des.(a) Marcos Lincoln , 11ª CÂMARA CÍVEL, julgamento em 25/04/2018, publicação da súmula em 22/06/2018)</w:t>
      </w:r>
    </w:p>
    <w:p w14:paraId="5E08643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2F9BE52"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C52D75">
        <w:rPr>
          <w:rFonts w:ascii="Times New Roman" w:hAnsi="Times New Roman" w:cs="Times New Roman"/>
          <w:spacing w:val="0"/>
          <w:sz w:val="24"/>
          <w:szCs w:val="24"/>
        </w:rPr>
        <w:t>Destarte, preambularmente, fica explanado o cabimento do Agravo de Instrumento para combater decisão que declina competência, pedindo-se de plano a admissão do presente recurso.</w:t>
      </w:r>
    </w:p>
    <w:p w14:paraId="4206FA9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0C7A862"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C52D75">
        <w:rPr>
          <w:rFonts w:ascii="Times New Roman" w:hAnsi="Times New Roman" w:cs="Times New Roman"/>
          <w:spacing w:val="0"/>
          <w:sz w:val="24"/>
          <w:szCs w:val="24"/>
        </w:rPr>
        <w:t>A AÇÃO DE NULIDADE DE CONTRATOS</w:t>
      </w:r>
    </w:p>
    <w:p w14:paraId="26936CF4"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0C78CB5"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 xml:space="preserve">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AFIRMA QUE AS CONTRATANTES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JUNTAMENTE COM OS ACIONISTAS DO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FORJARAM OS CONTRATOS </w:t>
      </w:r>
      <w:r w:rsidRPr="00C52D75">
        <w:rPr>
          <w:rFonts w:ascii="Times New Roman" w:hAnsi="Times New Roman" w:cs="Times New Roman"/>
          <w:i/>
          <w:spacing w:val="0"/>
          <w:sz w:val="24"/>
          <w:szCs w:val="24"/>
        </w:rPr>
        <w:t>SUB JUDICE</w:t>
      </w:r>
      <w:r w:rsidRPr="00C52D75">
        <w:rPr>
          <w:rFonts w:ascii="Times New Roman" w:hAnsi="Times New Roman" w:cs="Times New Roman"/>
          <w:spacing w:val="0"/>
          <w:sz w:val="24"/>
          <w:szCs w:val="24"/>
        </w:rPr>
        <w:t xml:space="preserve"> PARA PREJUDICÁ-LO.</w:t>
      </w:r>
    </w:p>
    <w:p w14:paraId="026DBAD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6A5C810"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POR ISSO, OS CONTRATOS SÃO NULOS DE PLENO DIREITO - SIMULAÇÃO.</w:t>
      </w:r>
    </w:p>
    <w:p w14:paraId="60F8D9C0"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5C6745D"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C52D75">
        <w:rPr>
          <w:rFonts w:ascii="Times New Roman" w:hAnsi="Times New Roman" w:cs="Times New Roman"/>
          <w:spacing w:val="0"/>
          <w:sz w:val="24"/>
          <w:szCs w:val="24"/>
        </w:rPr>
        <w:t xml:space="preserve">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 EM LIQUIDAÇÃO EXTRAJUDICIAL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ajuizou ação ordinária de nulidade de contratos firmados entre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w:t>
      </w:r>
      <w:r>
        <w:rPr>
          <w:rFonts w:ascii="Times New Roman" w:hAnsi="Times New Roman" w:cs="Times New Roman"/>
          <w:spacing w:val="0"/>
          <w:sz w:val="24"/>
          <w:szCs w:val="24"/>
        </w:rPr>
        <w:t>...") .</w:t>
      </w:r>
    </w:p>
    <w:p w14:paraId="696AF6EA"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78F54C3"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C52D75">
        <w:rPr>
          <w:rFonts w:ascii="Times New Roman" w:hAnsi="Times New Roman" w:cs="Times New Roman"/>
          <w:spacing w:val="0"/>
          <w:sz w:val="24"/>
          <w:szCs w:val="24"/>
        </w:rPr>
        <w:t xml:space="preserve">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(autor) não é parte de nenhum dos contratos </w:t>
      </w:r>
      <w:r w:rsidRPr="00C52D75">
        <w:rPr>
          <w:rFonts w:ascii="Times New Roman" w:hAnsi="Times New Roman" w:cs="Times New Roman"/>
          <w:i/>
          <w:spacing w:val="0"/>
          <w:sz w:val="24"/>
          <w:szCs w:val="24"/>
        </w:rPr>
        <w:t>in quaestio</w:t>
      </w:r>
      <w:r w:rsidRPr="00C52D75">
        <w:rPr>
          <w:rFonts w:ascii="Times New Roman" w:hAnsi="Times New Roman" w:cs="Times New Roman"/>
          <w:spacing w:val="0"/>
          <w:sz w:val="24"/>
          <w:szCs w:val="24"/>
        </w:rPr>
        <w:t>.</w:t>
      </w:r>
    </w:p>
    <w:p w14:paraId="60B389F0"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2BFB8DE"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C52D75">
        <w:rPr>
          <w:rFonts w:ascii="Times New Roman" w:hAnsi="Times New Roman" w:cs="Times New Roman"/>
          <w:spacing w:val="0"/>
          <w:sz w:val="24"/>
          <w:szCs w:val="24"/>
        </w:rPr>
        <w:t xml:space="preserve">É, todavia, um dos sócios quotistas da agravante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detendo 10% (dez por cento) das quotas sociais [no processo de origem, vide Id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w:t>
      </w:r>
    </w:p>
    <w:p w14:paraId="7024001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023DA88" w14:textId="77777777" w:rsid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C52D75">
        <w:rPr>
          <w:rFonts w:ascii="Times New Roman" w:hAnsi="Times New Roman" w:cs="Times New Roman"/>
          <w:spacing w:val="0"/>
          <w:sz w:val="24"/>
          <w:szCs w:val="24"/>
        </w:rPr>
        <w:t xml:space="preserve">Os primeiros contratos </w:t>
      </w:r>
      <w:r w:rsidRPr="008271ED">
        <w:rPr>
          <w:rFonts w:ascii="Times New Roman" w:hAnsi="Times New Roman" w:cs="Times New Roman"/>
          <w:i/>
          <w:spacing w:val="0"/>
          <w:sz w:val="24"/>
          <w:szCs w:val="24"/>
        </w:rPr>
        <w:t>sub judice</w:t>
      </w:r>
      <w:r w:rsidRPr="00C52D75">
        <w:rPr>
          <w:rFonts w:ascii="Times New Roman" w:hAnsi="Times New Roman" w:cs="Times New Roman"/>
          <w:spacing w:val="0"/>
          <w:sz w:val="24"/>
          <w:szCs w:val="24"/>
        </w:rPr>
        <w:t xml:space="preserve"> têm por objeto a compra e venda de um imóvel e de móveis , figurando 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como vendedora 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como compradora. O negócio foi feito pelo preço de 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w:t>
      </w:r>
      <w:r w:rsidR="008271ED">
        <w:rPr>
          <w:rFonts w:ascii="Times New Roman" w:hAnsi="Times New Roman" w:cs="Times New Roman"/>
          <w:spacing w:val="0"/>
          <w:sz w:val="24"/>
          <w:szCs w:val="24"/>
        </w:rPr>
        <w:t>...</w:t>
      </w:r>
      <w:r w:rsidRPr="00C52D75">
        <w:rPr>
          <w:rFonts w:ascii="Times New Roman" w:hAnsi="Times New Roman" w:cs="Times New Roman"/>
          <w:spacing w:val="0"/>
          <w:sz w:val="24"/>
          <w:szCs w:val="24"/>
        </w:rPr>
        <w:t>), sendo:</w:t>
      </w:r>
    </w:p>
    <w:p w14:paraId="6A83502C"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AA78DBD"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ab/>
        <w:t xml:space="preserve">- 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pelo imóvel - área de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hectares; e</w:t>
      </w:r>
    </w:p>
    <w:p w14:paraId="18F558C4"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ab/>
        <w:t xml:space="preserve">- R$ </w:t>
      </w:r>
      <w:r>
        <w:rPr>
          <w:rFonts w:ascii="Times New Roman" w:hAnsi="Times New Roman" w:cs="Times New Roman"/>
          <w:spacing w:val="0"/>
          <w:sz w:val="24"/>
          <w:szCs w:val="24"/>
        </w:rPr>
        <w:t>... pelos bens móveis.</w:t>
      </w:r>
    </w:p>
    <w:p w14:paraId="175B072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A2E6CF7"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C52D75">
        <w:rPr>
          <w:rFonts w:ascii="Times New Roman" w:hAnsi="Times New Roman" w:cs="Times New Roman"/>
          <w:spacing w:val="0"/>
          <w:sz w:val="24"/>
          <w:szCs w:val="24"/>
        </w:rPr>
        <w:t xml:space="preserve">Da área total alienada,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hectares eram objeto de desapropriação, pelo que ficou pactuado que vendedora/</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amortizaria parte do débito da compradora/</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caso se confirmasse a desapropriação e a vendedora fosse devidamente indenizada .</w:t>
      </w:r>
    </w:p>
    <w:p w14:paraId="0216F4A2"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5B3A778"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C52D75">
        <w:rPr>
          <w:rFonts w:ascii="Times New Roman" w:hAnsi="Times New Roman" w:cs="Times New Roman"/>
          <w:spacing w:val="0"/>
          <w:sz w:val="24"/>
          <w:szCs w:val="24"/>
        </w:rPr>
        <w:t xml:space="preserve">Posteriormente, confirmada a desapropriação, foi firmada re-ratificação  do contrato excluindo a área desapropriada e decotando o valor do negócio, posto que o valor pago pela expropriante foi destinado exclusivamente à expropriada-vendedora, </w:t>
      </w:r>
      <w:r>
        <w:rPr>
          <w:rFonts w:ascii="Times New Roman" w:hAnsi="Times New Roman" w:cs="Times New Roman"/>
          <w:spacing w:val="0"/>
          <w:sz w:val="24"/>
          <w:szCs w:val="24"/>
        </w:rPr>
        <w:t>...</w:t>
      </w:r>
    </w:p>
    <w:p w14:paraId="182C7E6A"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DFA6E7D"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C52D75">
        <w:rPr>
          <w:rFonts w:ascii="Times New Roman" w:hAnsi="Times New Roman" w:cs="Times New Roman"/>
          <w:spacing w:val="0"/>
          <w:sz w:val="24"/>
          <w:szCs w:val="24"/>
        </w:rPr>
        <w:t>Na peça</w:t>
      </w:r>
      <w:r>
        <w:rPr>
          <w:rFonts w:ascii="Times New Roman" w:hAnsi="Times New Roman" w:cs="Times New Roman"/>
          <w:spacing w:val="0"/>
          <w:sz w:val="24"/>
          <w:szCs w:val="24"/>
        </w:rPr>
        <w:t xml:space="preserve"> de ingresso, sustentou o ... </w:t>
      </w:r>
      <w:r w:rsidRPr="00C52D75">
        <w:rPr>
          <w:rFonts w:ascii="Times New Roman" w:hAnsi="Times New Roman" w:cs="Times New Roman"/>
          <w:spacing w:val="0"/>
          <w:sz w:val="24"/>
          <w:szCs w:val="24"/>
        </w:rPr>
        <w:t>que o imóvel foi vendido por valor inferior ao praticado pelo mercado, e que houve um "</w:t>
      </w:r>
      <w:r w:rsidRPr="00C52D75">
        <w:rPr>
          <w:rFonts w:ascii="Times New Roman" w:hAnsi="Times New Roman" w:cs="Times New Roman"/>
          <w:i/>
          <w:spacing w:val="0"/>
          <w:sz w:val="24"/>
          <w:szCs w:val="24"/>
        </w:rPr>
        <w:t>conluio</w:t>
      </w:r>
      <w:r w:rsidRPr="00C52D75">
        <w:rPr>
          <w:rFonts w:ascii="Times New Roman" w:hAnsi="Times New Roman" w:cs="Times New Roman"/>
          <w:spacing w:val="0"/>
          <w:sz w:val="24"/>
          <w:szCs w:val="24"/>
        </w:rPr>
        <w:t>" entre a vendedora/</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 a compradora/</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pois os preços entabulados estariam abaixo do valor de mercado, prejudicando os interesses da vendedora.</w:t>
      </w:r>
    </w:p>
    <w:p w14:paraId="0B6DA44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843FCCE"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C52D75">
        <w:rPr>
          <w:rFonts w:ascii="Times New Roman" w:hAnsi="Times New Roman" w:cs="Times New Roman"/>
          <w:spacing w:val="0"/>
          <w:sz w:val="24"/>
          <w:szCs w:val="24"/>
        </w:rPr>
        <w:t>Sustenta sua tese propondo que se multiplique o "</w:t>
      </w:r>
      <w:r w:rsidRPr="00C52D75">
        <w:rPr>
          <w:rFonts w:ascii="Times New Roman" w:hAnsi="Times New Roman" w:cs="Times New Roman"/>
          <w:i/>
          <w:spacing w:val="0"/>
          <w:sz w:val="24"/>
          <w:szCs w:val="24"/>
        </w:rPr>
        <w:t>preço por hectare</w:t>
      </w:r>
      <w:r w:rsidRPr="00C52D75">
        <w:rPr>
          <w:rFonts w:ascii="Times New Roman" w:hAnsi="Times New Roman" w:cs="Times New Roman"/>
          <w:spacing w:val="0"/>
          <w:sz w:val="24"/>
          <w:szCs w:val="24"/>
        </w:rPr>
        <w:t xml:space="preserve">" apurado na desapropriação [R$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ou o preço apurado em redes sociais [R$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pela área alienada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hectares, após o decote da área desapropriada], cálculos que resultariam em valores superiores àquele contratado.</w:t>
      </w:r>
    </w:p>
    <w:p w14:paraId="3346297A"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5B20177"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C52D75">
        <w:rPr>
          <w:rFonts w:ascii="Times New Roman" w:hAnsi="Times New Roman" w:cs="Times New Roman"/>
          <w:spacing w:val="0"/>
          <w:sz w:val="24"/>
          <w:szCs w:val="24"/>
        </w:rPr>
        <w:t xml:space="preserve">O outro contrato reivindicado é acordo comercial de compra e venda de madeira , novamente figurando a </w:t>
      </w: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 xml:space="preserve">como vendedora 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como compradora. Nesse negócio, foi contratada a compra e venda de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metros cúbicos de madeira estéril proveniente do "</w:t>
      </w:r>
      <w:r w:rsidRPr="00C52D75">
        <w:rPr>
          <w:rFonts w:ascii="Times New Roman" w:hAnsi="Times New Roman" w:cs="Times New Roman"/>
          <w:i/>
          <w:spacing w:val="0"/>
          <w:sz w:val="24"/>
          <w:szCs w:val="24"/>
        </w:rPr>
        <w:t>Projeto de Manejo</w:t>
      </w:r>
      <w:r w:rsidRPr="00C52D75">
        <w:rPr>
          <w:rFonts w:ascii="Times New Roman" w:hAnsi="Times New Roman" w:cs="Times New Roman"/>
          <w:spacing w:val="0"/>
          <w:sz w:val="24"/>
          <w:szCs w:val="24"/>
        </w:rPr>
        <w:t xml:space="preserve">" pelo valor R$ </w:t>
      </w:r>
      <w:r>
        <w:rPr>
          <w:rFonts w:ascii="Times New Roman" w:hAnsi="Times New Roman" w:cs="Times New Roman"/>
          <w:spacing w:val="0"/>
          <w:sz w:val="24"/>
          <w:szCs w:val="24"/>
        </w:rPr>
        <w:t>...</w:t>
      </w:r>
    </w:p>
    <w:p w14:paraId="38EF0B65"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5950160"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C52D75">
        <w:rPr>
          <w:rFonts w:ascii="Times New Roman" w:hAnsi="Times New Roman" w:cs="Times New Roman"/>
          <w:spacing w:val="0"/>
          <w:sz w:val="24"/>
          <w:szCs w:val="24"/>
        </w:rPr>
        <w:t xml:space="preserve">A inicial afirma que também o valor desta compra e venda de madeira era muito inferior ao praticado no mercado, causando um enorme prejuízo à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O preço da madeira, diz 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deveria ser aquele estipulado na Portaria n.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da SEFAZ-</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[revogada]. Assim, chegou ao preço de mercado de R$ </w:t>
      </w:r>
      <w:r>
        <w:rPr>
          <w:rFonts w:ascii="Times New Roman" w:hAnsi="Times New Roman" w:cs="Times New Roman"/>
          <w:spacing w:val="0"/>
          <w:sz w:val="24"/>
          <w:szCs w:val="24"/>
        </w:rPr>
        <w:t>...</w:t>
      </w:r>
    </w:p>
    <w:p w14:paraId="006297FF"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16DB620"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C52D75">
        <w:rPr>
          <w:rFonts w:ascii="Times New Roman" w:hAnsi="Times New Roman" w:cs="Times New Roman"/>
          <w:spacing w:val="0"/>
          <w:sz w:val="24"/>
          <w:szCs w:val="24"/>
        </w:rPr>
        <w:t xml:space="preserve">A partir dessa premissa, 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teceu ilações sobre suposta "</w:t>
      </w:r>
      <w:r w:rsidRPr="00C52D75">
        <w:rPr>
          <w:rFonts w:ascii="Times New Roman" w:hAnsi="Times New Roman" w:cs="Times New Roman"/>
          <w:i/>
          <w:spacing w:val="0"/>
          <w:sz w:val="24"/>
          <w:szCs w:val="24"/>
        </w:rPr>
        <w:t>confusão patrimonial e conluio entre os réus</w:t>
      </w:r>
      <w:r w:rsidRPr="00C52D75">
        <w:rPr>
          <w:rFonts w:ascii="Times New Roman" w:hAnsi="Times New Roman" w:cs="Times New Roman"/>
          <w:spacing w:val="0"/>
          <w:sz w:val="24"/>
          <w:szCs w:val="24"/>
        </w:rPr>
        <w:t>" com o manifesto interesse de prejudicar terceiros, referindo-se a seus próprios credores [do autor].</w:t>
      </w:r>
    </w:p>
    <w:p w14:paraId="48F0D51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5A2B0DE5"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C52D75">
        <w:rPr>
          <w:rFonts w:ascii="Times New Roman" w:hAnsi="Times New Roman" w:cs="Times New Roman"/>
          <w:spacing w:val="0"/>
          <w:sz w:val="24"/>
          <w:szCs w:val="24"/>
        </w:rPr>
        <w:t>Declarou o autor na inicial:</w:t>
      </w:r>
    </w:p>
    <w:p w14:paraId="40C0FBC8"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6880F95"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que os bens móveis não poderiam ter sido repassados à compradora/</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por força da cláusula de pacto de reserva de domínio;</w:t>
      </w:r>
    </w:p>
    <w:p w14:paraId="6CCA9E7E"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42F4009" w14:textId="77777777" w:rsid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 xml:space="preserve">que há relação de proximidade entre o sócio controlador da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[Sr.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com os acionistas controladores do autor/</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gerando daí confusão patrimonial;</w:t>
      </w:r>
    </w:p>
    <w:p w14:paraId="13B8614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378A9A0" w14:textId="77777777" w:rsid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 xml:space="preserve">a </w:t>
      </w: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 xml:space="preserve">teria realizado alterações no seu contrato social [aumento do capital social, alteração do objeto social, mudança no quadro societário, adoção de nome de fantasia e criação de filial em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w:t>
      </w:r>
    </w:p>
    <w:p w14:paraId="671027E1"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1D6CAE3" w14:textId="77777777" w:rsid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 xml:space="preserve">relacionamentos pessoais e negociais entre o sócio da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[Sr.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 as controladoras do autor [Sra.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 sua filha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w:t>
      </w:r>
    </w:p>
    <w:p w14:paraId="583252BC"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D9CE245"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C52D75">
        <w:rPr>
          <w:rFonts w:ascii="Times New Roman" w:hAnsi="Times New Roman" w:cs="Times New Roman"/>
          <w:spacing w:val="0"/>
          <w:sz w:val="24"/>
          <w:szCs w:val="24"/>
        </w:rPr>
        <w:t>indícios suficientes para concluir que a alienação do imóvel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ocorreu de forma fraudulenta, abaixo do preço, com o objetivo único de acobertar a expropriação desse bem do patrimônio do autor/</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em favor da família e dos acionistas controladores, em </w:t>
      </w:r>
      <w:r>
        <w:rPr>
          <w:rFonts w:ascii="Times New Roman" w:hAnsi="Times New Roman" w:cs="Times New Roman"/>
          <w:spacing w:val="0"/>
          <w:sz w:val="24"/>
          <w:szCs w:val="24"/>
        </w:rPr>
        <w:t>prejuízo dos credores do autor.</w:t>
      </w:r>
    </w:p>
    <w:p w14:paraId="26A1411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34AE8E6" w14:textId="77777777" w:rsidR="00C52D75" w:rsidRP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Pr="00C52D75">
        <w:rPr>
          <w:rFonts w:ascii="Times New Roman" w:hAnsi="Times New Roman" w:cs="Times New Roman"/>
          <w:spacing w:val="0"/>
          <w:sz w:val="24"/>
          <w:szCs w:val="24"/>
        </w:rPr>
        <w:t xml:space="preserve">No aspecto legal invocou o autor a nulidade dos contratos de vendas de imóvel, móvel e madeira sob a compreensão de que sucedeu simulação e desvio de patrimônio do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em benefício dos acionistas do próprio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em detrimento dos credores também do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w:t>
      </w:r>
      <w:r w:rsidRPr="00C52D75">
        <w:rPr>
          <w:rFonts w:ascii="Times New Roman" w:hAnsi="Times New Roman" w:cs="Times New Roman"/>
          <w:i/>
          <w:spacing w:val="0"/>
          <w:sz w:val="24"/>
          <w:szCs w:val="24"/>
        </w:rPr>
        <w:t>ex vi</w:t>
      </w:r>
      <w:r w:rsidRPr="00C52D75">
        <w:rPr>
          <w:rFonts w:ascii="Times New Roman" w:hAnsi="Times New Roman" w:cs="Times New Roman"/>
          <w:spacing w:val="0"/>
          <w:sz w:val="24"/>
          <w:szCs w:val="24"/>
        </w:rPr>
        <w:t xml:space="preserve"> a dicção do art. 167, § 1º, incisos I e III; art. 166, inc. III, ambos do Código Civil.</w:t>
      </w:r>
    </w:p>
    <w:p w14:paraId="3BD5755B"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703E793" w14:textId="77777777" w:rsidR="00C52D75" w:rsidRDefault="00C52D75"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Pr="00C52D75">
        <w:rPr>
          <w:rFonts w:ascii="Times New Roman" w:hAnsi="Times New Roman" w:cs="Times New Roman"/>
          <w:spacing w:val="0"/>
          <w:sz w:val="24"/>
          <w:szCs w:val="24"/>
        </w:rPr>
        <w:t xml:space="preserve">Pediu, pois, que todos os réus fossem condenados à reparação civil por dano material - 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(diferença do preço do imóvel rural) mais R$ </w:t>
      </w:r>
      <w:r>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(diferença do valor da madeira do Projeto Manejo) mais diferença do valor dos bens móveis a serem liquidados -, e perdas e danos, invocando os arts. 186, 187 e 927; arts. 402 e 944 do Código Civil.</w:t>
      </w:r>
    </w:p>
    <w:p w14:paraId="3BD798C4"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590C710A"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II- </w:t>
      </w:r>
      <w:r w:rsidR="00C52D75" w:rsidRPr="00C52D75">
        <w:rPr>
          <w:rFonts w:ascii="Times New Roman" w:hAnsi="Times New Roman" w:cs="Times New Roman"/>
          <w:spacing w:val="0"/>
          <w:sz w:val="24"/>
          <w:szCs w:val="24"/>
        </w:rPr>
        <w:t>A DECISÃO AGRAVADA</w:t>
      </w:r>
    </w:p>
    <w:p w14:paraId="4D5984AB"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E436D82" w14:textId="77777777" w:rsid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 xml:space="preserve">REMESSA DOS AUTOS PARA </w:t>
      </w:r>
      <w:r w:rsidR="008F1C04">
        <w:rPr>
          <w:rFonts w:ascii="Times New Roman" w:hAnsi="Times New Roman" w:cs="Times New Roman"/>
          <w:spacing w:val="0"/>
          <w:sz w:val="24"/>
          <w:szCs w:val="24"/>
        </w:rPr>
        <w:t>...</w:t>
      </w:r>
      <w:r w:rsidRPr="00C52D75">
        <w:rPr>
          <w:rFonts w:ascii="Times New Roman" w:hAnsi="Times New Roman" w:cs="Times New Roman"/>
          <w:spacing w:val="0"/>
          <w:sz w:val="24"/>
          <w:szCs w:val="24"/>
        </w:rPr>
        <w:t>, PELA CLÁUSULA DE ELEIÇÃ</w:t>
      </w:r>
      <w:r w:rsidR="008F1C04">
        <w:rPr>
          <w:rFonts w:ascii="Times New Roman" w:hAnsi="Times New Roman" w:cs="Times New Roman"/>
          <w:spacing w:val="0"/>
          <w:sz w:val="24"/>
          <w:szCs w:val="24"/>
        </w:rPr>
        <w:t>O DE FORO E SITUAÇÃO DO IMÓVEL.</w:t>
      </w:r>
    </w:p>
    <w:p w14:paraId="7BCD08D0"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03D805AF"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C52D75" w:rsidRPr="00C52D75">
        <w:rPr>
          <w:rFonts w:ascii="Times New Roman" w:hAnsi="Times New Roman" w:cs="Times New Roman"/>
          <w:spacing w:val="0"/>
          <w:sz w:val="24"/>
          <w:szCs w:val="24"/>
        </w:rPr>
        <w:t xml:space="preserve">Em sede de preliminar à contestação, a ré/compradora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suscitou a incompetência do d. Juízo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requerendo que os autos fossem remetidos para a comarca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vez que lá está situado o imóvel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cuja venda se pretende nulificar.</w:t>
      </w:r>
    </w:p>
    <w:p w14:paraId="115EB044"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89CE23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C52D75" w:rsidRPr="00C52D75">
        <w:rPr>
          <w:rFonts w:ascii="Times New Roman" w:hAnsi="Times New Roman" w:cs="Times New Roman"/>
          <w:spacing w:val="0"/>
          <w:sz w:val="24"/>
          <w:szCs w:val="24"/>
        </w:rPr>
        <w:t xml:space="preserve">Em razão de se ter dado seguimento ao feito sem a apreciação da preliminar, a </w:t>
      </w:r>
      <w:r>
        <w:rPr>
          <w:rFonts w:ascii="Times New Roman" w:hAnsi="Times New Roman" w:cs="Times New Roman"/>
          <w:spacing w:val="0"/>
          <w:sz w:val="24"/>
          <w:szCs w:val="24"/>
        </w:rPr>
        <w:t xml:space="preserve">... </w:t>
      </w:r>
      <w:r w:rsidR="00C52D75" w:rsidRPr="00C52D75">
        <w:rPr>
          <w:rFonts w:ascii="Times New Roman" w:hAnsi="Times New Roman" w:cs="Times New Roman"/>
          <w:spacing w:val="0"/>
          <w:sz w:val="24"/>
          <w:szCs w:val="24"/>
        </w:rPr>
        <w:t xml:space="preserve">apresentou Embargos de Declaração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aos quais foi dado provimento para declarar a competência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(decisão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w:t>
      </w:r>
    </w:p>
    <w:p w14:paraId="359E423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35E749F"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C52D75" w:rsidRPr="00C52D75">
        <w:rPr>
          <w:rFonts w:ascii="Times New Roman" w:hAnsi="Times New Roman" w:cs="Times New Roman"/>
          <w:spacing w:val="0"/>
          <w:sz w:val="24"/>
          <w:szCs w:val="24"/>
        </w:rPr>
        <w:t xml:space="preserve">O d. Magistrado acolheu a tese de competência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utilizando-se dos seguintes fundamentos:</w:t>
      </w:r>
    </w:p>
    <w:p w14:paraId="29ACC64A"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43FC625" w14:textId="77777777" w:rsid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C52D75" w:rsidRPr="00C52D75">
        <w:rPr>
          <w:rFonts w:ascii="Times New Roman" w:hAnsi="Times New Roman" w:cs="Times New Roman"/>
          <w:spacing w:val="0"/>
          <w:sz w:val="24"/>
          <w:szCs w:val="24"/>
        </w:rPr>
        <w:t xml:space="preserve">O contrato de compra e venda da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e o instrumento de re-ratificação foram celebrados na comarca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cujo foro foi eleito para dirimir quaisquer controvérsias derivadas da avença.</w:t>
      </w:r>
    </w:p>
    <w:p w14:paraId="7DA15B4B"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323854FE" w14:textId="77777777" w:rsid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C52D75" w:rsidRPr="00C52D75">
        <w:rPr>
          <w:rFonts w:ascii="Times New Roman" w:hAnsi="Times New Roman" w:cs="Times New Roman"/>
          <w:spacing w:val="0"/>
          <w:sz w:val="24"/>
          <w:szCs w:val="24"/>
        </w:rPr>
        <w:t xml:space="preserve">O imóvel comercializado se situa em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w:t>
      </w:r>
    </w:p>
    <w:p w14:paraId="36215AC8"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38A48193" w14:textId="77777777" w:rsid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C52D75" w:rsidRPr="00C52D75">
        <w:rPr>
          <w:rFonts w:ascii="Times New Roman" w:hAnsi="Times New Roman" w:cs="Times New Roman"/>
          <w:spacing w:val="0"/>
          <w:sz w:val="24"/>
          <w:szCs w:val="24"/>
        </w:rPr>
        <w:t>A empresa adquirente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é sediada em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w:t>
      </w:r>
    </w:p>
    <w:p w14:paraId="1A0BB2DB"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4DD935DA"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C52D75" w:rsidRPr="00C52D75">
        <w:rPr>
          <w:rFonts w:ascii="Times New Roman" w:hAnsi="Times New Roman" w:cs="Times New Roman"/>
          <w:spacing w:val="0"/>
          <w:sz w:val="24"/>
          <w:szCs w:val="24"/>
        </w:rPr>
        <w:t xml:space="preserve">A prova pericial no imóvel, requerida, será realizada em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de modo que a remessa dos autos dispensará a expedição de Carta Precatória.</w:t>
      </w:r>
    </w:p>
    <w:p w14:paraId="20F3D22D"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4D2C3FE"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C52D75" w:rsidRPr="00C52D75">
        <w:rPr>
          <w:rFonts w:ascii="Times New Roman" w:hAnsi="Times New Roman" w:cs="Times New Roman"/>
          <w:spacing w:val="0"/>
          <w:sz w:val="24"/>
          <w:szCs w:val="24"/>
        </w:rPr>
        <w:t xml:space="preserve">Contra essa decisão, o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(autor) apresentou Embargos de Declaração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argumento que não é parte do contrato em questão (portanto, não vinculado à cláusula de eleição de foro), assim como o litígio envolve direito pessoal, e não real.</w:t>
      </w:r>
    </w:p>
    <w:p w14:paraId="64B5B13A"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95CE2A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C52D75" w:rsidRPr="00C52D75">
        <w:rPr>
          <w:rFonts w:ascii="Times New Roman" w:hAnsi="Times New Roman" w:cs="Times New Roman"/>
          <w:spacing w:val="0"/>
          <w:sz w:val="24"/>
          <w:szCs w:val="24"/>
        </w:rPr>
        <w:t xml:space="preserve">Na sequência, o mesmo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suscitou a suspeição do então juiz da causa [Dr.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por ser irmão de advogado [Dr.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que trabalha no escritório de advocacia que defende a corré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w:t>
      </w:r>
    </w:p>
    <w:p w14:paraId="6B6EE4D2"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84D3E2F"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C52D75" w:rsidRPr="00C52D75">
        <w:rPr>
          <w:rFonts w:ascii="Times New Roman" w:hAnsi="Times New Roman" w:cs="Times New Roman"/>
          <w:spacing w:val="0"/>
          <w:sz w:val="24"/>
          <w:szCs w:val="24"/>
        </w:rPr>
        <w:t xml:space="preserve">O então Magistrado responsável pela causa deu-se por suspeito, pela imposição do art. 144, VIII, do CPC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w:t>
      </w:r>
    </w:p>
    <w:p w14:paraId="66574825"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D77A0B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C52D75" w:rsidRPr="00C52D75">
        <w:rPr>
          <w:rFonts w:ascii="Times New Roman" w:hAnsi="Times New Roman" w:cs="Times New Roman"/>
          <w:spacing w:val="0"/>
          <w:sz w:val="24"/>
          <w:szCs w:val="24"/>
        </w:rPr>
        <w:t xml:space="preserve">Finalmente, os autos foram remetidos para o juiz substituto legal [Dr.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que convalidou todas as decisões anteriores e rejeitou os Embargos de Declaração do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mantendo a decisão que declinou a competência para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w:t>
      </w:r>
    </w:p>
    <w:p w14:paraId="315C5355"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DF5C416"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C52D75" w:rsidRPr="00C52D75">
        <w:rPr>
          <w:rFonts w:ascii="Times New Roman" w:hAnsi="Times New Roman" w:cs="Times New Roman"/>
          <w:spacing w:val="0"/>
          <w:sz w:val="24"/>
          <w:szCs w:val="24"/>
        </w:rPr>
        <w:t>Eis o relato necessário e suficiente para análise da matéria recursal a seguir aventada, dispensando abordagem aprofundada sobre o conteúdo fático e as peças de defesa, sendo suficiente chamar atenção para a natureza jurídica da ação e os pedidos formulados.</w:t>
      </w:r>
    </w:p>
    <w:p w14:paraId="1870628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A80830D"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C52D75" w:rsidRPr="00C52D75">
        <w:rPr>
          <w:rFonts w:ascii="Times New Roman" w:hAnsi="Times New Roman" w:cs="Times New Roman"/>
          <w:spacing w:val="0"/>
          <w:sz w:val="24"/>
          <w:szCs w:val="24"/>
        </w:rPr>
        <w:t>PROVIMENTO DO AGRAVO DE INSTRUMENTO</w:t>
      </w:r>
    </w:p>
    <w:p w14:paraId="1F30516E"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BB0BC49"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NATUREZA JURÍDICA DA AÇÃO ORDINÁRIA DE NULIDADE DE CONTRATO: DIREITO PESSOAL.</w:t>
      </w:r>
    </w:p>
    <w:p w14:paraId="6633EF65"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lastRenderedPageBreak/>
        <w:t>INICIAL SUSCITA VÍCIOS DE CONSENTIMENTO (SIMULAÇÃO E FRAUDE), E NÃO DIREITO DE PROPRIEDADE.</w:t>
      </w:r>
    </w:p>
    <w:p w14:paraId="7173DC5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4D8EFF8"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C52D75" w:rsidRPr="00C52D75">
        <w:rPr>
          <w:rFonts w:ascii="Times New Roman" w:hAnsi="Times New Roman" w:cs="Times New Roman"/>
          <w:spacing w:val="0"/>
          <w:sz w:val="24"/>
          <w:szCs w:val="24"/>
        </w:rPr>
        <w:t xml:space="preserve">A ação proposta pelo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tem como objeto o contrato de compra e venda de imóvel e móvel e o contrato de compra e venda de madeira, acompanhados </w:t>
      </w:r>
      <w:r>
        <w:rPr>
          <w:rFonts w:ascii="Times New Roman" w:hAnsi="Times New Roman" w:cs="Times New Roman"/>
          <w:spacing w:val="0"/>
          <w:sz w:val="24"/>
          <w:szCs w:val="24"/>
        </w:rPr>
        <w:t>de suas respectivas alterações.</w:t>
      </w:r>
    </w:p>
    <w:p w14:paraId="117AA20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8A6FBCD"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C52D75" w:rsidRPr="00C52D75">
        <w:rPr>
          <w:rFonts w:ascii="Times New Roman" w:hAnsi="Times New Roman" w:cs="Times New Roman"/>
          <w:spacing w:val="0"/>
          <w:sz w:val="24"/>
          <w:szCs w:val="24"/>
        </w:rPr>
        <w:t>O pleito nulidade dos contratos carreada na inicial está relacionado, de maneira direta, com a suposta fraude e simulação do negócio jurídico, atos praticados em conluio por todos os corréus (partes contratantes, diretores e acionistas das sociedades, inclusive do próprio autor).</w:t>
      </w:r>
    </w:p>
    <w:p w14:paraId="2916BAB8"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805F71D"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C52D75" w:rsidRPr="00C52D75">
        <w:rPr>
          <w:rFonts w:ascii="Times New Roman" w:hAnsi="Times New Roman" w:cs="Times New Roman"/>
          <w:spacing w:val="0"/>
          <w:sz w:val="24"/>
          <w:szCs w:val="24"/>
        </w:rPr>
        <w:t>Significa dizer que os atos de alienação, por si só, seriam admitidos pelo autor caso não se tivesse operada a simulação sobre eles em seu desfavor - é o que sustenta.</w:t>
      </w:r>
    </w:p>
    <w:p w14:paraId="47E5FE4F"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5D59F051"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C52D75" w:rsidRPr="00C52D75">
        <w:rPr>
          <w:rFonts w:ascii="Times New Roman" w:hAnsi="Times New Roman" w:cs="Times New Roman"/>
          <w:spacing w:val="0"/>
          <w:sz w:val="24"/>
          <w:szCs w:val="24"/>
        </w:rPr>
        <w:t>Denota-se, pois, que o cerne na discussão não é direito de propriedade, mas sim os negócios jurídicos contratados.</w:t>
      </w:r>
    </w:p>
    <w:p w14:paraId="5E65488A"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E9CAC4C"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C52D75" w:rsidRPr="00C52D75">
        <w:rPr>
          <w:rFonts w:ascii="Times New Roman" w:hAnsi="Times New Roman" w:cs="Times New Roman"/>
          <w:spacing w:val="0"/>
          <w:sz w:val="24"/>
          <w:szCs w:val="24"/>
        </w:rPr>
        <w:t xml:space="preserve">A causa de pedir da ação é o </w:t>
      </w:r>
      <w:r w:rsidR="00C52D75" w:rsidRPr="008F1C04">
        <w:rPr>
          <w:rFonts w:ascii="Times New Roman" w:hAnsi="Times New Roman" w:cs="Times New Roman"/>
          <w:i/>
          <w:spacing w:val="0"/>
          <w:sz w:val="24"/>
          <w:szCs w:val="24"/>
        </w:rPr>
        <w:t>consilium fraudis</w:t>
      </w:r>
      <w:r w:rsidR="00C52D75" w:rsidRPr="00C52D75">
        <w:rPr>
          <w:rFonts w:ascii="Times New Roman" w:hAnsi="Times New Roman" w:cs="Times New Roman"/>
          <w:spacing w:val="0"/>
          <w:sz w:val="24"/>
          <w:szCs w:val="24"/>
        </w:rPr>
        <w:t xml:space="preserve">, o comportamento lesivo praticado pelos réus que conduz ao desfazimento dos negócios, o que comporta discussão de direito pessoal. </w:t>
      </w:r>
    </w:p>
    <w:p w14:paraId="0B8ADB78"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91247CF"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C52D75" w:rsidRPr="00C52D75">
        <w:rPr>
          <w:rFonts w:ascii="Times New Roman" w:hAnsi="Times New Roman" w:cs="Times New Roman"/>
          <w:spacing w:val="0"/>
          <w:sz w:val="24"/>
          <w:szCs w:val="24"/>
        </w:rPr>
        <w:t xml:space="preserve">O que o autor reivindica não é propriamente o objeto do contrato [imóvel = direito real], mas o direito nulificar um contrato fraudulento e ser ressarcido pelos prejuízos que </w:t>
      </w:r>
      <w:r>
        <w:rPr>
          <w:rFonts w:ascii="Times New Roman" w:hAnsi="Times New Roman" w:cs="Times New Roman"/>
          <w:spacing w:val="0"/>
          <w:sz w:val="24"/>
          <w:szCs w:val="24"/>
        </w:rPr>
        <w:t>diz ter tido [direito pessoal].</w:t>
      </w:r>
    </w:p>
    <w:p w14:paraId="7D59B965"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62A58CA"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C52D75" w:rsidRPr="00C52D75">
        <w:rPr>
          <w:rFonts w:ascii="Times New Roman" w:hAnsi="Times New Roman" w:cs="Times New Roman"/>
          <w:spacing w:val="0"/>
          <w:sz w:val="24"/>
          <w:szCs w:val="24"/>
        </w:rPr>
        <w:t xml:space="preserve">Portanto, o espectro jurídico do pedido, com base no art. 167 do Código Civil, é DECLARATÓRIO, característica essa não afetada pela existência de pedidos subsidiários e assessórios. </w:t>
      </w:r>
    </w:p>
    <w:p w14:paraId="519D3C63"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822775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C52D75" w:rsidRPr="00C52D75">
        <w:rPr>
          <w:rFonts w:ascii="Times New Roman" w:hAnsi="Times New Roman" w:cs="Times New Roman"/>
          <w:spacing w:val="0"/>
          <w:sz w:val="24"/>
          <w:szCs w:val="24"/>
        </w:rPr>
        <w:t>A modificação da propriedade e da posse é possível consequência da eventual procedência do feito, decorre do acolhimento do pedido principal (nulidade), mas não compõe a causa de pedir.</w:t>
      </w:r>
    </w:p>
    <w:p w14:paraId="7D47E744"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A80062D"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C52D75" w:rsidRPr="00C52D75">
        <w:rPr>
          <w:rFonts w:ascii="Times New Roman" w:hAnsi="Times New Roman" w:cs="Times New Roman"/>
          <w:spacing w:val="0"/>
          <w:sz w:val="24"/>
          <w:szCs w:val="24"/>
        </w:rPr>
        <w:t>Assim é que, no caso em testilha, seguro que se trata de contenda de natureza pessoal, aplica-se a regra imposta pelo artigo 46, caput, do Código de Processo Civil, o qual define que é competente o foro de domicílio do réu, não havendo que se falar em foro obrigatório da coisa.</w:t>
      </w:r>
    </w:p>
    <w:p w14:paraId="2C79CA8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575BA99B"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8F1C04">
        <w:rPr>
          <w:rFonts w:ascii="Times New Roman" w:hAnsi="Times New Roman" w:cs="Times New Roman"/>
          <w:i/>
          <w:spacing w:val="0"/>
          <w:sz w:val="24"/>
          <w:szCs w:val="24"/>
        </w:rPr>
        <w:t>CPC. Art. 46.  A ação fundada em direito pessoal ou em direito real sobre bens móveis será proposta, em regra, no foro de domicílio do réu</w:t>
      </w:r>
      <w:r w:rsidRPr="00C52D75">
        <w:rPr>
          <w:rFonts w:ascii="Times New Roman" w:hAnsi="Times New Roman" w:cs="Times New Roman"/>
          <w:spacing w:val="0"/>
          <w:sz w:val="24"/>
          <w:szCs w:val="24"/>
        </w:rPr>
        <w:t>.</w:t>
      </w:r>
    </w:p>
    <w:p w14:paraId="72869638"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03DC64D" w14:textId="77777777" w:rsid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C52D75" w:rsidRPr="00C52D75">
        <w:rPr>
          <w:rFonts w:ascii="Times New Roman" w:hAnsi="Times New Roman" w:cs="Times New Roman"/>
          <w:spacing w:val="0"/>
          <w:sz w:val="24"/>
          <w:szCs w:val="24"/>
        </w:rPr>
        <w:t>A doutrina abalizada de THEOTONIO NEGRÃO, JOSÉ ROBERTO F. GOUVÊA e LUIS GUILHERME A. BONDIOLI, no aclamado Código de Processo Civil comentado, esclarecem, ainda, que o corolário de voltarem as partes ao status quo, com a devolução do imóvel, não afeta a natureza pessoal quando a causa de pedir contém natureza pessoal:</w:t>
      </w:r>
    </w:p>
    <w:p w14:paraId="4CED3770"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437497C2" w14:textId="77777777" w:rsidR="00C52D75" w:rsidRPr="008F1C04" w:rsidRDefault="00C52D75" w:rsidP="00C52D75">
      <w:pPr>
        <w:tabs>
          <w:tab w:val="left" w:pos="0"/>
        </w:tabs>
        <w:ind w:left="0" w:right="-568"/>
        <w:rPr>
          <w:rFonts w:ascii="Times New Roman" w:hAnsi="Times New Roman" w:cs="Times New Roman"/>
          <w:i/>
          <w:spacing w:val="0"/>
          <w:sz w:val="24"/>
          <w:szCs w:val="24"/>
        </w:rPr>
      </w:pPr>
      <w:r w:rsidRPr="00C52D75">
        <w:rPr>
          <w:rFonts w:ascii="Times New Roman" w:hAnsi="Times New Roman" w:cs="Times New Roman"/>
          <w:spacing w:val="0"/>
          <w:sz w:val="24"/>
          <w:szCs w:val="24"/>
        </w:rPr>
        <w:t>"</w:t>
      </w:r>
      <w:r w:rsidRPr="008F1C04">
        <w:rPr>
          <w:rFonts w:ascii="Times New Roman" w:hAnsi="Times New Roman" w:cs="Times New Roman"/>
          <w:i/>
          <w:spacing w:val="0"/>
          <w:sz w:val="24"/>
          <w:szCs w:val="24"/>
        </w:rPr>
        <w:t>Art. 95: 5. São de natureza pessoal, ainda que digam respeito a imóvel (v. nota anterior): (...)</w:t>
      </w:r>
    </w:p>
    <w:p w14:paraId="6AEEBFAC"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8F1C04">
        <w:rPr>
          <w:rFonts w:ascii="Times New Roman" w:hAnsi="Times New Roman" w:cs="Times New Roman"/>
          <w:i/>
          <w:spacing w:val="0"/>
          <w:sz w:val="24"/>
          <w:szCs w:val="24"/>
        </w:rPr>
        <w:t>- a ação de rescisão de promessa de compra e venda em que 'o pedido de reintegração de posse é deduzido como mero efeito ou extensão do pedido principal de resolução do compromisso de compra e venda' (RSTJ 74/229 e RT 124/187)</w:t>
      </w:r>
      <w:r w:rsidRPr="00C52D75">
        <w:rPr>
          <w:rFonts w:ascii="Times New Roman" w:hAnsi="Times New Roman" w:cs="Times New Roman"/>
          <w:spacing w:val="0"/>
          <w:sz w:val="24"/>
          <w:szCs w:val="24"/>
        </w:rPr>
        <w:t xml:space="preserve">" </w:t>
      </w:r>
      <w:r w:rsidR="008F1C04">
        <w:rPr>
          <w:rFonts w:ascii="Times New Roman" w:hAnsi="Times New Roman" w:cs="Times New Roman"/>
          <w:spacing w:val="0"/>
          <w:sz w:val="24"/>
          <w:szCs w:val="24"/>
        </w:rPr>
        <w:t xml:space="preserve"> </w:t>
      </w:r>
      <w:r w:rsidRPr="008F1C04">
        <w:rPr>
          <w:rFonts w:ascii="Times New Roman" w:hAnsi="Times New Roman" w:cs="Times New Roman"/>
          <w:spacing w:val="0"/>
          <w:sz w:val="24"/>
          <w:szCs w:val="24"/>
        </w:rPr>
        <w:t>(</w:t>
      </w:r>
      <w:r w:rsidRPr="008F1C04">
        <w:rPr>
          <w:rFonts w:ascii="Times New Roman" w:hAnsi="Times New Roman" w:cs="Times New Roman"/>
          <w:i/>
          <w:spacing w:val="0"/>
          <w:sz w:val="24"/>
          <w:szCs w:val="24"/>
        </w:rPr>
        <w:t>in</w:t>
      </w:r>
      <w:r w:rsidRPr="00C52D75">
        <w:rPr>
          <w:rFonts w:ascii="Times New Roman" w:hAnsi="Times New Roman" w:cs="Times New Roman"/>
          <w:spacing w:val="0"/>
          <w:sz w:val="24"/>
          <w:szCs w:val="24"/>
        </w:rPr>
        <w:t xml:space="preserve"> Código de Processo Civil </w:t>
      </w:r>
      <w:r w:rsidRPr="00C52D75">
        <w:rPr>
          <w:rFonts w:ascii="Times New Roman" w:hAnsi="Times New Roman" w:cs="Times New Roman"/>
          <w:spacing w:val="0"/>
          <w:sz w:val="24"/>
          <w:szCs w:val="24"/>
        </w:rPr>
        <w:lastRenderedPageBreak/>
        <w:t>e Legislação Processual em Vigor. Theotonio Negrão, José Roberto F. Gouvêa, Luis Guilherme A. Bondioli, com a colaboração de João Francisco Naves da Fonseca, 43ª Ed., São</w:t>
      </w:r>
      <w:r w:rsidR="008F1C04">
        <w:rPr>
          <w:rFonts w:ascii="Times New Roman" w:hAnsi="Times New Roman" w:cs="Times New Roman"/>
          <w:spacing w:val="0"/>
          <w:sz w:val="24"/>
          <w:szCs w:val="24"/>
        </w:rPr>
        <w:t xml:space="preserve"> Paulo: Saraiva, 2011, p. 219).</w:t>
      </w:r>
    </w:p>
    <w:p w14:paraId="643C0D4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ED6A79F"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C52D75" w:rsidRPr="00C52D75">
        <w:rPr>
          <w:rFonts w:ascii="Times New Roman" w:hAnsi="Times New Roman" w:cs="Times New Roman"/>
          <w:spacing w:val="0"/>
          <w:sz w:val="24"/>
          <w:szCs w:val="24"/>
        </w:rPr>
        <w:t>A jurisprudência confirma o posicionamento doutrinário, no sentido de reconhecer a natureza pessoal das ações de rescisão contratual e, pois, afastar a competência territorial no local do imóvel.</w:t>
      </w:r>
    </w:p>
    <w:p w14:paraId="3BE97380"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600CF58"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C52D75" w:rsidRPr="008F1C04">
        <w:rPr>
          <w:rFonts w:ascii="Times New Roman" w:hAnsi="Times New Roman" w:cs="Times New Roman"/>
          <w:i/>
          <w:spacing w:val="0"/>
          <w:sz w:val="24"/>
          <w:szCs w:val="24"/>
        </w:rPr>
        <w:t>DIREITO PROCESSUAL CIVIL. CONFLITO NEGATIVO DE COMPETÊNCIA. AÇÃO DECLARATÓRIA DE NULIDADE OU ANULABILIDADE DE ATO/NEGÓCIO JURÍDICO. NATUREZA DA DEMANDA. DIREITO PESSOAL. REGRA DO ARTIGO 95 DO CPC. INAPLICABILIDADE. 1. O PEDIDO DECLARATÓRIO DE NULIDADE OU ANULABILIDADE DE ATO/NEGÓCIO JURÍDICO TEM NATUREZA DE DIREITO PESSOAL, e não real, embora a atribuição da propriedade possa ser uma das intercorrências possíveis da eventual procedência ou improcedência do pleito. 2. Inaplicável, pois, a regra contida no artigo 95 do CPC, mas sim aquela constante do artigo 94 do mesmo codex, impondo-se portanto a observância do foro do domicílio do réu, in casu, na comarca desta capital</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(Conflito de Competência n. 1.0000.13.093364-1/000, Rel</w:t>
      </w:r>
      <w:r>
        <w:rPr>
          <w:rFonts w:ascii="Times New Roman" w:hAnsi="Times New Roman" w:cs="Times New Roman"/>
          <w:spacing w:val="0"/>
          <w:sz w:val="24"/>
          <w:szCs w:val="24"/>
        </w:rPr>
        <w:t>. Otávio Portes, DJ.09/05/2014)</w:t>
      </w:r>
    </w:p>
    <w:p w14:paraId="681F0E46"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A73933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C52D75" w:rsidRPr="008F1C04">
        <w:rPr>
          <w:rFonts w:ascii="Times New Roman" w:hAnsi="Times New Roman" w:cs="Times New Roman"/>
          <w:i/>
          <w:spacing w:val="0"/>
          <w:sz w:val="24"/>
          <w:szCs w:val="24"/>
        </w:rPr>
        <w:t>AÇÃO DE RESCISÃO CONTRATUAL C/C REINTEGRAÇÃO DE POSSE – DIREITO PESSOAL – FORO CONTRATUAL - COMPETÊNCIA RELATIVA - DECLINAÇÃO DE OFÍCIO - IMPOSSIBILIDADE. A ação de rescisão contratual c/c reintegração de posse se trata de direito pessoal, porque o pedido de reintegração de posse é deduzido como mero efeito do pedido principal de resolução do compromisso de compra e venda, de modo que é inaplicável o disposto no art. 95, do CPC</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(A.I Nº 1.0024.13.420900-6/001, Rel.Des. LUCIANO PINTO, DJ. 18/02/2014).</w:t>
      </w:r>
    </w:p>
    <w:p w14:paraId="0EE2404D"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8C995BA"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C52D75" w:rsidRPr="008F1C04">
        <w:rPr>
          <w:rFonts w:ascii="Times New Roman" w:hAnsi="Times New Roman" w:cs="Times New Roman"/>
          <w:i/>
          <w:spacing w:val="0"/>
          <w:sz w:val="24"/>
          <w:szCs w:val="24"/>
        </w:rPr>
        <w:t>AGRAVO DE INSTRUMENTO - AÇÃO DE ANULAÇÃO DE CONTRATO DE COMPRA E VENDA DE IMÓVEL - COMPETÊNCIA DO DOMICÍLIO DO RÉU - AFASTAMENTO DA NORMA DO ARTIGO 95 DO CÓDIGO DE PROCESSO CIVIL - - É competente o juízo do foro de domicílio do réu para processar e julgar ação em que se busca a anulação do contrato de compra e venda de imóvel, não tendo aplicação o art. 95 do CPC</w:t>
      </w:r>
      <w:r w:rsidR="00C52D75" w:rsidRPr="00C52D75">
        <w:rPr>
          <w:rFonts w:ascii="Times New Roman" w:hAnsi="Times New Roman" w:cs="Times New Roman"/>
          <w:spacing w:val="0"/>
          <w:sz w:val="24"/>
          <w:szCs w:val="24"/>
        </w:rPr>
        <w:t>.</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(A.I, n. 10024.11.187102-6/001, Rel. Des. Al</w:t>
      </w:r>
      <w:r>
        <w:rPr>
          <w:rFonts w:ascii="Times New Roman" w:hAnsi="Times New Roman" w:cs="Times New Roman"/>
          <w:spacing w:val="0"/>
          <w:sz w:val="24"/>
          <w:szCs w:val="24"/>
        </w:rPr>
        <w:t>vimar de Ávila, DJ. 03/06/2013)</w:t>
      </w:r>
    </w:p>
    <w:p w14:paraId="0881CC8D"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7690F7BD"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C52D75" w:rsidRPr="008F1C04">
        <w:rPr>
          <w:rFonts w:ascii="Times New Roman" w:hAnsi="Times New Roman" w:cs="Times New Roman"/>
          <w:i/>
          <w:spacing w:val="0"/>
          <w:sz w:val="24"/>
          <w:szCs w:val="24"/>
        </w:rPr>
        <w:t>COMPROMISSO DE COMPRA E VENDA - AÇÃO DE RESCISÃO DO CONTRATO CUMULADA COM PEDIDO DE IMISSÃO NA POSSE – FORO DE ELEIÇÃO - INCOMPETÊNCIA RECONHECIDA PELO MM. JUIZ DE PRIMEIRO GRAU – ORDEM DE REMESSA DOS AUTOS PARA A COMARCA DE SÃO DESIDÉRIO/BA, POR SE TRATAR DE AÇÃO DE NATUREZA REAL – DESCABIMENTO – TRATA-SE, A RIGOR, DE DEMANDA PESSOAL, AINDA QUE DIGA RESPEITO A IMÓVEL – IMISSÃO NA POSSE É MERO EFEITO OU EXTENSÃO DO PEDIDO PRINCIPAL DE RESOLUÇÃO DO COMPROMISSO DE COMPRA E VENDA E NÃO INTERFERE NA FIXAÇÃO DA COMPETÊNCIA – DECISÃO REFORMADA – RECURSO PROVIDO</w:t>
      </w:r>
      <w:r w:rsidR="00C52D75" w:rsidRPr="00C52D75">
        <w:rPr>
          <w:rFonts w:ascii="Times New Roman" w:hAnsi="Times New Roman" w:cs="Times New Roman"/>
          <w:spacing w:val="0"/>
          <w:sz w:val="24"/>
          <w:szCs w:val="24"/>
        </w:rPr>
        <w:t>.</w:t>
      </w:r>
      <w:r>
        <w:rPr>
          <w:rFonts w:ascii="Times New Roman" w:hAnsi="Times New Roman" w:cs="Times New Roman"/>
          <w:spacing w:val="0"/>
          <w:sz w:val="24"/>
          <w:szCs w:val="24"/>
        </w:rPr>
        <w:t xml:space="preserve">” (TJSP; </w:t>
      </w:r>
      <w:r w:rsidR="00C52D75" w:rsidRPr="00C52D75">
        <w:rPr>
          <w:rFonts w:ascii="Times New Roman" w:hAnsi="Times New Roman" w:cs="Times New Roman"/>
          <w:spacing w:val="0"/>
          <w:sz w:val="24"/>
          <w:szCs w:val="24"/>
        </w:rPr>
        <w:t>Agravo de Instrumento 2040193-04.2015.8.26.0000; Relator (a): Theodureto Camargo; Órgão Julgador: 9ª Câmara de Direito Privado; Foro de Campinas - 2ª. Vara Cível; Data do Julgamento: 30/04/2015; Data de Registro: 01/05/2015)</w:t>
      </w:r>
    </w:p>
    <w:p w14:paraId="327D088B"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1BD9225"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COMPETÊNCIA DO FORO DE DOMICÍLIO DA MAIORIA DOS RÉUS, À ESCOLHA DO AUTOR (CPC, ART. 46, §4º).</w:t>
      </w:r>
    </w:p>
    <w:p w14:paraId="609C3A28"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lastRenderedPageBreak/>
        <w:t xml:space="preserve">ENTRE OS 07 RÉUS, 06 DELES ESTÃO EM </w:t>
      </w:r>
      <w:r w:rsidR="008F1C04">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E </w:t>
      </w:r>
      <w:r w:rsidR="008F1C04">
        <w:rPr>
          <w:rFonts w:ascii="Times New Roman" w:hAnsi="Times New Roman" w:cs="Times New Roman"/>
          <w:spacing w:val="0"/>
          <w:sz w:val="24"/>
          <w:szCs w:val="24"/>
        </w:rPr>
        <w:t>...</w:t>
      </w:r>
      <w:r w:rsidRPr="00C52D75">
        <w:rPr>
          <w:rFonts w:ascii="Times New Roman" w:hAnsi="Times New Roman" w:cs="Times New Roman"/>
          <w:spacing w:val="0"/>
          <w:sz w:val="24"/>
          <w:szCs w:val="24"/>
        </w:rPr>
        <w:t xml:space="preserve"> (REGIÃO METROPOLITANA).</w:t>
      </w:r>
    </w:p>
    <w:p w14:paraId="646FEA85" w14:textId="77777777" w:rsid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EXERCÍCIO DO DIREITO DE DEFESA E CONVENIÊNCIA PARA A INSTRUÇÃO.</w:t>
      </w:r>
    </w:p>
    <w:p w14:paraId="3484E6EE"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699C008A"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C52D75" w:rsidRPr="00C52D75">
        <w:rPr>
          <w:rFonts w:ascii="Times New Roman" w:hAnsi="Times New Roman" w:cs="Times New Roman"/>
          <w:spacing w:val="0"/>
          <w:sz w:val="24"/>
          <w:szCs w:val="24"/>
        </w:rPr>
        <w:t>Certo de que o direito sub judice tem natureza pessoal, incidiria à espécie o artigo 46 do CPC/2015, o qual estipula a regra de competência no "</w:t>
      </w:r>
      <w:r w:rsidR="00C52D75" w:rsidRPr="008F1C04">
        <w:rPr>
          <w:rFonts w:ascii="Times New Roman" w:hAnsi="Times New Roman" w:cs="Times New Roman"/>
          <w:i/>
          <w:spacing w:val="0"/>
          <w:sz w:val="24"/>
          <w:szCs w:val="24"/>
        </w:rPr>
        <w:t>foro de domicílio do réu</w:t>
      </w:r>
      <w:r>
        <w:rPr>
          <w:rFonts w:ascii="Times New Roman" w:hAnsi="Times New Roman" w:cs="Times New Roman"/>
          <w:spacing w:val="0"/>
          <w:sz w:val="24"/>
          <w:szCs w:val="24"/>
        </w:rPr>
        <w:t>" (sic).</w:t>
      </w:r>
    </w:p>
    <w:p w14:paraId="20CDA44C"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C24BC3F"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C52D75" w:rsidRPr="00C52D75">
        <w:rPr>
          <w:rFonts w:ascii="Times New Roman" w:hAnsi="Times New Roman" w:cs="Times New Roman"/>
          <w:spacing w:val="0"/>
          <w:sz w:val="24"/>
          <w:szCs w:val="24"/>
        </w:rPr>
        <w:t xml:space="preserve">Ocorre que a presente contenda foi ajuizada pelo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contra SETE (07) RÉUS, entre pessoas físicas e jurídicas.</w:t>
      </w:r>
    </w:p>
    <w:p w14:paraId="78567F0C"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2954D81C"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C52D75" w:rsidRPr="00C52D75">
        <w:rPr>
          <w:rFonts w:ascii="Times New Roman" w:hAnsi="Times New Roman" w:cs="Times New Roman"/>
          <w:spacing w:val="0"/>
          <w:sz w:val="24"/>
          <w:szCs w:val="24"/>
        </w:rPr>
        <w:t xml:space="preserve">Dentre os litisconsortes passivos, apenas a ré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não está situada em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w:t>
      </w:r>
    </w:p>
    <w:p w14:paraId="36F3819D"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6C03CE7"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C52D75" w:rsidRPr="00C52D75">
        <w:rPr>
          <w:rFonts w:ascii="Times New Roman" w:hAnsi="Times New Roman" w:cs="Times New Roman"/>
          <w:spacing w:val="0"/>
          <w:sz w:val="24"/>
          <w:szCs w:val="24"/>
        </w:rPr>
        <w:t xml:space="preserve">Todos os demais réus, assim como o autor, são residentes ou sediados na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[o réu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tem endereço na comarca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re</w:t>
      </w:r>
      <w:r>
        <w:rPr>
          <w:rFonts w:ascii="Times New Roman" w:hAnsi="Times New Roman" w:cs="Times New Roman"/>
          <w:spacing w:val="0"/>
          <w:sz w:val="24"/>
          <w:szCs w:val="24"/>
        </w:rPr>
        <w:t>gião metropolitana da Capital].</w:t>
      </w:r>
    </w:p>
    <w:p w14:paraId="07ED2DBB"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100212C"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C52D75" w:rsidRPr="00C52D75">
        <w:rPr>
          <w:rFonts w:ascii="Times New Roman" w:hAnsi="Times New Roman" w:cs="Times New Roman"/>
          <w:spacing w:val="0"/>
          <w:sz w:val="24"/>
          <w:szCs w:val="24"/>
        </w:rPr>
        <w:t xml:space="preserve">No aspecto jurídico-processual, o §4º do artigo 46 do CPC outorga ao autor, em caso de litisconsórcio passivo, a escolha do domicílio de qualquer dos réus para propor a ação: </w:t>
      </w:r>
      <w:r w:rsidR="00C52D75" w:rsidRPr="008F1C04">
        <w:rPr>
          <w:rFonts w:ascii="Times New Roman" w:hAnsi="Times New Roman" w:cs="Times New Roman"/>
          <w:i/>
          <w:spacing w:val="0"/>
          <w:sz w:val="24"/>
          <w:szCs w:val="24"/>
        </w:rPr>
        <w:t>"§ 4o Havendo 2 (dois) ou mais réus com diferentes domicílios, serão demandados no foro de qualquer deles, à escolha do autor"</w:t>
      </w:r>
      <w:r>
        <w:rPr>
          <w:rFonts w:ascii="Times New Roman" w:hAnsi="Times New Roman" w:cs="Times New Roman"/>
          <w:spacing w:val="0"/>
          <w:sz w:val="24"/>
          <w:szCs w:val="24"/>
        </w:rPr>
        <w:t>.</w:t>
      </w:r>
    </w:p>
    <w:p w14:paraId="6D055E56"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020102C8"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C52D75" w:rsidRPr="00C52D75">
        <w:rPr>
          <w:rFonts w:ascii="Times New Roman" w:hAnsi="Times New Roman" w:cs="Times New Roman"/>
          <w:spacing w:val="0"/>
          <w:sz w:val="24"/>
          <w:szCs w:val="24"/>
        </w:rPr>
        <w:t xml:space="preserve">Sob a ótica do melhor transcurso do processo, também é seguramente mais conveniente que o mesmo prossiga em </w:t>
      </w:r>
      <w:r>
        <w:rPr>
          <w:rFonts w:ascii="Times New Roman" w:hAnsi="Times New Roman" w:cs="Times New Roman"/>
          <w:spacing w:val="0"/>
          <w:sz w:val="24"/>
          <w:szCs w:val="24"/>
        </w:rPr>
        <w:t>...</w:t>
      </w:r>
    </w:p>
    <w:p w14:paraId="7BD457BE"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C3710DC" w14:textId="77777777" w:rsid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C52D75" w:rsidRPr="00C52D75">
        <w:rPr>
          <w:rFonts w:ascii="Times New Roman" w:hAnsi="Times New Roman" w:cs="Times New Roman"/>
          <w:spacing w:val="0"/>
          <w:sz w:val="24"/>
          <w:szCs w:val="24"/>
        </w:rPr>
        <w:t>Tendo em vista as alegações de suposto "</w:t>
      </w:r>
      <w:r w:rsidR="00C52D75" w:rsidRPr="008F1C04">
        <w:rPr>
          <w:rFonts w:ascii="Times New Roman" w:hAnsi="Times New Roman" w:cs="Times New Roman"/>
          <w:i/>
          <w:spacing w:val="0"/>
          <w:sz w:val="24"/>
          <w:szCs w:val="24"/>
        </w:rPr>
        <w:t>conluio</w:t>
      </w:r>
      <w:r w:rsidR="00C52D75" w:rsidRPr="00C52D75">
        <w:rPr>
          <w:rFonts w:ascii="Times New Roman" w:hAnsi="Times New Roman" w:cs="Times New Roman"/>
          <w:spacing w:val="0"/>
          <w:sz w:val="24"/>
          <w:szCs w:val="24"/>
        </w:rPr>
        <w:t xml:space="preserve">", o comparecimento pessoal das partes e testemunhas perante o Magistrado que efetivamente julgará a casa é da maior importância, e o traslado até o interior do estado do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representa verdadeiro empecilho à defesa e à melhor apuração dos fatos.</w:t>
      </w:r>
    </w:p>
    <w:p w14:paraId="078E83A5"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015CFB81"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48. </w:t>
      </w:r>
      <w:r w:rsidR="00C52D75" w:rsidRPr="00C52D75">
        <w:rPr>
          <w:rFonts w:ascii="Times New Roman" w:hAnsi="Times New Roman" w:cs="Times New Roman"/>
          <w:spacing w:val="0"/>
          <w:sz w:val="24"/>
          <w:szCs w:val="24"/>
        </w:rPr>
        <w:t xml:space="preserve">A realização da prova técnica não exige o comparecimento pessoal de qualquer das partes, mas de perito técnico que irá emitir Laudo Pericial por escrito para análise das partes e do Juízo, sendo excepcional a necessidade de inquirição oral de perito técnico </w:t>
      </w:r>
      <w:r>
        <w:rPr>
          <w:rFonts w:ascii="Times New Roman" w:hAnsi="Times New Roman" w:cs="Times New Roman"/>
          <w:spacing w:val="0"/>
          <w:sz w:val="24"/>
          <w:szCs w:val="24"/>
        </w:rPr>
        <w:t>em casos similares ao presente.</w:t>
      </w:r>
    </w:p>
    <w:p w14:paraId="67293DEE"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439CAE6"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CLÁUSULA DE ELEIÇÃO DE FORO NÃO AFETA T</w:t>
      </w:r>
      <w:r w:rsidR="008F1C04">
        <w:rPr>
          <w:rFonts w:ascii="Times New Roman" w:hAnsi="Times New Roman" w:cs="Times New Roman"/>
          <w:spacing w:val="0"/>
          <w:sz w:val="24"/>
          <w:szCs w:val="24"/>
        </w:rPr>
        <w:t>ERCEIROS ESTRANHOS AO CONTRATO.</w:t>
      </w:r>
    </w:p>
    <w:p w14:paraId="2829AD07"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1DFA65B"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C52D75" w:rsidRPr="00C52D75">
        <w:rPr>
          <w:rFonts w:ascii="Times New Roman" w:hAnsi="Times New Roman" w:cs="Times New Roman"/>
          <w:spacing w:val="0"/>
          <w:sz w:val="24"/>
          <w:szCs w:val="24"/>
        </w:rPr>
        <w:t xml:space="preserve">Por fim, no que tange à eleição do foro prevista contratualmente, o art. 63, </w:t>
      </w:r>
      <w:r w:rsidR="00C52D75" w:rsidRPr="008F1C04">
        <w:rPr>
          <w:rFonts w:ascii="Times New Roman" w:hAnsi="Times New Roman" w:cs="Times New Roman"/>
          <w:i/>
          <w:spacing w:val="0"/>
          <w:sz w:val="24"/>
          <w:szCs w:val="24"/>
        </w:rPr>
        <w:t xml:space="preserve">caput </w:t>
      </w:r>
      <w:r w:rsidR="00C52D75" w:rsidRPr="00C52D75">
        <w:rPr>
          <w:rFonts w:ascii="Times New Roman" w:hAnsi="Times New Roman" w:cs="Times New Roman"/>
          <w:spacing w:val="0"/>
          <w:sz w:val="24"/>
          <w:szCs w:val="24"/>
        </w:rPr>
        <w:t xml:space="preserve">e §1º, do CPC deixam claro que as mesmas vinculam às partes do negócio jurídico - no caso, a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e a </w:t>
      </w:r>
      <w:r>
        <w:rPr>
          <w:rFonts w:ascii="Times New Roman" w:hAnsi="Times New Roman" w:cs="Times New Roman"/>
          <w:spacing w:val="0"/>
          <w:sz w:val="24"/>
          <w:szCs w:val="24"/>
        </w:rPr>
        <w:t>...</w:t>
      </w:r>
    </w:p>
    <w:p w14:paraId="5BFDCF78"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330D0357"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CPC, Art. 63.  As partes podem modificar a competência em razão do valor e do território, elegendo foro onde será proposta ação oriunda de direitos e obrigações.</w:t>
      </w:r>
    </w:p>
    <w:p w14:paraId="1545E4CB"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8F1C04">
        <w:rPr>
          <w:rFonts w:ascii="Times New Roman" w:hAnsi="Times New Roman" w:cs="Times New Roman"/>
          <w:i/>
          <w:spacing w:val="0"/>
          <w:sz w:val="24"/>
          <w:szCs w:val="24"/>
        </w:rPr>
        <w:t>§ 1o A eleição de foro só produz efeito quando constar de instrumento escrito e aludir expressamente a determinado negócio jurídico</w:t>
      </w:r>
      <w:r w:rsidRPr="00C52D75">
        <w:rPr>
          <w:rFonts w:ascii="Times New Roman" w:hAnsi="Times New Roman" w:cs="Times New Roman"/>
          <w:spacing w:val="0"/>
          <w:sz w:val="24"/>
          <w:szCs w:val="24"/>
        </w:rPr>
        <w:t>.</w:t>
      </w:r>
    </w:p>
    <w:p w14:paraId="3566FE76"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B3CCFFB"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C52D75" w:rsidRPr="00C52D75">
        <w:rPr>
          <w:rFonts w:ascii="Times New Roman" w:hAnsi="Times New Roman" w:cs="Times New Roman"/>
          <w:spacing w:val="0"/>
          <w:sz w:val="24"/>
          <w:szCs w:val="24"/>
        </w:rPr>
        <w:t xml:space="preserve">Tendo em vista que a presente ação foi proposta por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(que não é parte do contrato), e que o polo passivo é composto por terceiros que igualmente não se comprometeram com o contrato ou com a cláusula de eleição de foro, a escolha da comarca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pelos corréus-contratantes não atinge os terceiros estranhos ao contrato e não abala a prerrogativa do autor de optar pelo foro de qualquer dos réus.</w:t>
      </w:r>
    </w:p>
    <w:p w14:paraId="7703A539"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61E6822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C52D75" w:rsidRPr="00C52D75">
        <w:rPr>
          <w:rFonts w:ascii="Times New Roman" w:hAnsi="Times New Roman" w:cs="Times New Roman"/>
          <w:spacing w:val="0"/>
          <w:sz w:val="24"/>
          <w:szCs w:val="24"/>
        </w:rPr>
        <w:t>PEDIDOS</w:t>
      </w:r>
    </w:p>
    <w:p w14:paraId="631B00BB"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1DF7F07C" w14:textId="77777777" w:rsid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C52D75" w:rsidRPr="008F1C04">
        <w:rPr>
          <w:rFonts w:ascii="Times New Roman" w:hAnsi="Times New Roman" w:cs="Times New Roman"/>
          <w:b/>
          <w:i/>
          <w:spacing w:val="0"/>
          <w:sz w:val="24"/>
          <w:szCs w:val="24"/>
        </w:rPr>
        <w:t>Ex positis</w:t>
      </w:r>
      <w:r w:rsidR="00C52D75" w:rsidRPr="00C52D75">
        <w:rPr>
          <w:rFonts w:ascii="Times New Roman" w:hAnsi="Times New Roman" w:cs="Times New Roman"/>
          <w:spacing w:val="0"/>
          <w:sz w:val="24"/>
          <w:szCs w:val="24"/>
        </w:rPr>
        <w:t xml:space="preserve">, o agravante requer seja admitido o presente Agravo de Instrumento e DADO PROVIMENTO ao recurso, reformando as decisões a quo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e Id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xml:space="preserve">) e declarando competente para julgamento do presente feito o Juízo de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em razão:</w:t>
      </w:r>
    </w:p>
    <w:p w14:paraId="4BD183C3" w14:textId="77777777" w:rsidR="008F1C04" w:rsidRPr="00C52D75" w:rsidRDefault="008F1C04" w:rsidP="00C52D75">
      <w:pPr>
        <w:tabs>
          <w:tab w:val="left" w:pos="0"/>
        </w:tabs>
        <w:ind w:left="0" w:right="-568"/>
        <w:rPr>
          <w:rFonts w:ascii="Times New Roman" w:hAnsi="Times New Roman" w:cs="Times New Roman"/>
          <w:spacing w:val="0"/>
          <w:sz w:val="24"/>
          <w:szCs w:val="24"/>
        </w:rPr>
      </w:pPr>
    </w:p>
    <w:p w14:paraId="3FB8AAF4"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(i) da natureza pessoal da ação de nulidade de contrato;</w:t>
      </w:r>
    </w:p>
    <w:p w14:paraId="2A8327B0"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(ii) ser o foro de domicílio da maioria dos réus;</w:t>
      </w:r>
    </w:p>
    <w:p w14:paraId="049644A3"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(iii) ser de direito de escolha do autor entre o domicílio dos litisconsortes passivos;</w:t>
      </w:r>
    </w:p>
    <w:p w14:paraId="13D3CF73" w14:textId="77777777" w:rsidR="00C52D75" w:rsidRPr="00C52D75" w:rsidRDefault="00C52D75" w:rsidP="00C52D75">
      <w:pPr>
        <w:tabs>
          <w:tab w:val="left" w:pos="0"/>
        </w:tabs>
        <w:ind w:left="0" w:right="-568"/>
        <w:rPr>
          <w:rFonts w:ascii="Times New Roman" w:hAnsi="Times New Roman" w:cs="Times New Roman"/>
          <w:spacing w:val="0"/>
          <w:sz w:val="24"/>
          <w:szCs w:val="24"/>
        </w:rPr>
      </w:pPr>
      <w:r w:rsidRPr="00C52D75">
        <w:rPr>
          <w:rFonts w:ascii="Times New Roman" w:hAnsi="Times New Roman" w:cs="Times New Roman"/>
          <w:spacing w:val="0"/>
          <w:sz w:val="24"/>
          <w:szCs w:val="24"/>
        </w:rPr>
        <w:t>(iv) a cláusula de eleição de foro não vincular os terceiros que não são parte do contrato, incluindo-se o próprio autor e 05 (cinco) dos 07 (sete) réus.</w:t>
      </w:r>
    </w:p>
    <w:p w14:paraId="3FCA2507" w14:textId="77777777" w:rsidR="008F1C04" w:rsidRDefault="008F1C04" w:rsidP="00C52D75">
      <w:pPr>
        <w:tabs>
          <w:tab w:val="left" w:pos="0"/>
        </w:tabs>
        <w:ind w:left="0" w:right="-568"/>
        <w:rPr>
          <w:rFonts w:ascii="Times New Roman" w:hAnsi="Times New Roman" w:cs="Times New Roman"/>
          <w:spacing w:val="0"/>
          <w:sz w:val="24"/>
          <w:szCs w:val="24"/>
        </w:rPr>
      </w:pPr>
    </w:p>
    <w:p w14:paraId="48FB4480" w14:textId="77777777" w:rsidR="00C52D75" w:rsidRPr="00C52D75" w:rsidRDefault="008F1C04" w:rsidP="00C52D75">
      <w:pPr>
        <w:tabs>
          <w:tab w:val="left" w:pos="0"/>
        </w:tabs>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C52D75" w:rsidRPr="00C52D75">
        <w:rPr>
          <w:rFonts w:ascii="Times New Roman" w:hAnsi="Times New Roman" w:cs="Times New Roman"/>
          <w:spacing w:val="0"/>
          <w:sz w:val="24"/>
          <w:szCs w:val="24"/>
        </w:rPr>
        <w:t xml:space="preserve">Por derradeiro, deixa o agravante consignado que o processo de origem, n. </w:t>
      </w:r>
      <w:r>
        <w:rPr>
          <w:rFonts w:ascii="Times New Roman" w:hAnsi="Times New Roman" w:cs="Times New Roman"/>
          <w:spacing w:val="0"/>
          <w:sz w:val="24"/>
          <w:szCs w:val="24"/>
        </w:rPr>
        <w:t>...</w:t>
      </w:r>
      <w:r w:rsidR="00C52D75" w:rsidRPr="00C52D75">
        <w:rPr>
          <w:rFonts w:ascii="Times New Roman" w:hAnsi="Times New Roman" w:cs="Times New Roman"/>
          <w:spacing w:val="0"/>
          <w:sz w:val="24"/>
          <w:szCs w:val="24"/>
        </w:rPr>
        <w:t>, tramita de forma eletrônica pelo Sistema PJe, dispensando-se a juntada dos documentos obr</w:t>
      </w:r>
      <w:r>
        <w:rPr>
          <w:rFonts w:ascii="Times New Roman" w:hAnsi="Times New Roman" w:cs="Times New Roman"/>
          <w:spacing w:val="0"/>
          <w:sz w:val="24"/>
          <w:szCs w:val="24"/>
        </w:rPr>
        <w:t>igatórios (CPC, art. 1.017, §2º</w:t>
      </w:r>
      <w:r w:rsidR="00511459">
        <w:rPr>
          <w:rStyle w:val="Refdenotaderodap"/>
          <w:rFonts w:ascii="Times New Roman" w:hAnsi="Times New Roman" w:cs="Times New Roman"/>
          <w:spacing w:val="0"/>
          <w:sz w:val="24"/>
          <w:szCs w:val="24"/>
        </w:rPr>
        <w:footnoteReference w:id="4"/>
      </w:r>
      <w:r w:rsidR="00C52D75" w:rsidRPr="00C52D75">
        <w:rPr>
          <w:rFonts w:ascii="Times New Roman" w:hAnsi="Times New Roman" w:cs="Times New Roman"/>
          <w:spacing w:val="0"/>
          <w:sz w:val="24"/>
          <w:szCs w:val="24"/>
        </w:rPr>
        <w:t xml:space="preserve"> ).</w:t>
      </w:r>
    </w:p>
    <w:p w14:paraId="6A7FBCDC" w14:textId="77777777" w:rsidR="00C52D75" w:rsidRPr="00C52D75" w:rsidRDefault="00C52D75" w:rsidP="00C52D75">
      <w:pPr>
        <w:tabs>
          <w:tab w:val="left" w:pos="0"/>
        </w:tabs>
        <w:ind w:left="0" w:right="-568"/>
        <w:rPr>
          <w:rFonts w:ascii="Times New Roman" w:hAnsi="Times New Roman" w:cs="Times New Roman"/>
          <w:spacing w:val="0"/>
          <w:sz w:val="24"/>
          <w:szCs w:val="24"/>
        </w:rPr>
      </w:pPr>
    </w:p>
    <w:p w14:paraId="417D465F" w14:textId="77777777" w:rsidR="00C52D75" w:rsidRPr="00C52D75" w:rsidRDefault="00C52D75" w:rsidP="008F1C04">
      <w:pPr>
        <w:tabs>
          <w:tab w:val="left" w:pos="0"/>
        </w:tabs>
        <w:ind w:left="0" w:right="-568"/>
        <w:jc w:val="center"/>
        <w:rPr>
          <w:rFonts w:ascii="Times New Roman" w:hAnsi="Times New Roman" w:cs="Times New Roman"/>
          <w:spacing w:val="0"/>
          <w:sz w:val="24"/>
          <w:szCs w:val="24"/>
        </w:rPr>
      </w:pPr>
      <w:r w:rsidRPr="00C52D75">
        <w:rPr>
          <w:rFonts w:ascii="Times New Roman" w:hAnsi="Times New Roman" w:cs="Times New Roman"/>
          <w:spacing w:val="0"/>
          <w:sz w:val="24"/>
          <w:szCs w:val="24"/>
        </w:rPr>
        <w:t>P. Deferimento.</w:t>
      </w:r>
    </w:p>
    <w:p w14:paraId="7E018D6A" w14:textId="77777777" w:rsidR="006B3321" w:rsidRDefault="008F1C04" w:rsidP="008F1C04">
      <w:pPr>
        <w:tabs>
          <w:tab w:val="left" w:pos="0"/>
        </w:tabs>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1C9B12B9" w14:textId="77777777" w:rsidR="008F1C04" w:rsidRPr="00C52D75" w:rsidRDefault="008F1C04" w:rsidP="008F1C04">
      <w:pPr>
        <w:tabs>
          <w:tab w:val="left" w:pos="0"/>
        </w:tabs>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8F1C04" w:rsidRPr="00C52D75" w:rsidSect="008271ED">
      <w:pgSz w:w="11906" w:h="16838"/>
      <w:pgMar w:top="1560"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A4E7" w14:textId="77777777" w:rsidR="0083213D" w:rsidRDefault="0083213D" w:rsidP="00C52D75">
      <w:r>
        <w:separator/>
      </w:r>
    </w:p>
  </w:endnote>
  <w:endnote w:type="continuationSeparator" w:id="0">
    <w:p w14:paraId="1932DDDD" w14:textId="77777777" w:rsidR="0083213D" w:rsidRDefault="0083213D" w:rsidP="00C5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B5CB" w14:textId="77777777" w:rsidR="0083213D" w:rsidRDefault="0083213D" w:rsidP="00C52D75">
      <w:r>
        <w:separator/>
      </w:r>
    </w:p>
  </w:footnote>
  <w:footnote w:type="continuationSeparator" w:id="0">
    <w:p w14:paraId="40029636" w14:textId="77777777" w:rsidR="0083213D" w:rsidRDefault="0083213D" w:rsidP="00C52D75">
      <w:r>
        <w:continuationSeparator/>
      </w:r>
    </w:p>
  </w:footnote>
  <w:footnote w:id="1">
    <w:p w14:paraId="28DBF686" w14:textId="77777777" w:rsidR="008F1C04" w:rsidRPr="00511459" w:rsidRDefault="008F1C04" w:rsidP="00511459">
      <w:pPr>
        <w:pStyle w:val="Textodenotaderodap"/>
        <w:ind w:left="0" w:right="-568"/>
        <w:rPr>
          <w:rFonts w:ascii="Times New Roman" w:hAnsi="Times New Roman" w:cs="Times New Roman"/>
          <w:spacing w:val="0"/>
        </w:rPr>
      </w:pPr>
      <w:r w:rsidRPr="00511459">
        <w:rPr>
          <w:rStyle w:val="Refdenotaderodap"/>
          <w:rFonts w:ascii="Times New Roman" w:hAnsi="Times New Roman" w:cs="Times New Roman"/>
          <w:spacing w:val="0"/>
        </w:rPr>
        <w:footnoteRef/>
      </w:r>
      <w:r w:rsidRPr="00511459">
        <w:rPr>
          <w:rFonts w:ascii="Times New Roman" w:hAnsi="Times New Roman" w:cs="Times New Roman"/>
          <w:spacing w:val="0"/>
        </w:rPr>
        <w:t xml:space="preserve"> DIDIER Jr, Fredie; CUNHA, Leonardo Carneiro. Curso de Direito Processual Civil. v.3. Salvador: JusPodium, 2016. p. 216.</w:t>
      </w:r>
    </w:p>
  </w:footnote>
  <w:footnote w:id="2">
    <w:p w14:paraId="198D2E07" w14:textId="77777777" w:rsidR="008F1C04" w:rsidRPr="00511459" w:rsidRDefault="008F1C04" w:rsidP="00511459">
      <w:pPr>
        <w:pStyle w:val="Textodenotaderodap"/>
        <w:ind w:left="0" w:right="-568"/>
        <w:rPr>
          <w:rFonts w:ascii="Times New Roman" w:hAnsi="Times New Roman" w:cs="Times New Roman"/>
          <w:spacing w:val="0"/>
        </w:rPr>
      </w:pPr>
      <w:r w:rsidRPr="00511459">
        <w:rPr>
          <w:rStyle w:val="Refdenotaderodap"/>
          <w:rFonts w:ascii="Times New Roman" w:hAnsi="Times New Roman" w:cs="Times New Roman"/>
          <w:spacing w:val="0"/>
        </w:rPr>
        <w:footnoteRef/>
      </w:r>
      <w:r w:rsidRPr="00511459">
        <w:rPr>
          <w:rFonts w:ascii="Times New Roman" w:hAnsi="Times New Roman" w:cs="Times New Roman"/>
          <w:spacing w:val="0"/>
        </w:rPr>
        <w:t xml:space="preserve"> WAMBIER, Teresa Arruda Alvim; CONCEIÇÃO, Maria Lucia Lins; RIBEIRO; Leonardo Ferres da Silva; e MELLO, Rogério Licastro Torres de. Primeiros Comentários ao Novo Código de Processo Civil. São Paulo: RT, 2016. p. 1614.</w:t>
      </w:r>
    </w:p>
  </w:footnote>
  <w:footnote w:id="3">
    <w:p w14:paraId="582B709F" w14:textId="77777777" w:rsidR="00511459" w:rsidRPr="00511459" w:rsidRDefault="00511459" w:rsidP="00511459">
      <w:pPr>
        <w:pStyle w:val="Textodenotaderodap"/>
        <w:ind w:left="0" w:right="-568"/>
        <w:rPr>
          <w:rFonts w:ascii="Times New Roman" w:hAnsi="Times New Roman" w:cs="Times New Roman"/>
          <w:spacing w:val="0"/>
        </w:rPr>
      </w:pPr>
      <w:r w:rsidRPr="00511459">
        <w:rPr>
          <w:rStyle w:val="Refdenotaderodap"/>
          <w:rFonts w:ascii="Times New Roman" w:hAnsi="Times New Roman" w:cs="Times New Roman"/>
          <w:spacing w:val="0"/>
        </w:rPr>
        <w:footnoteRef/>
      </w:r>
      <w:r w:rsidRPr="00511459">
        <w:rPr>
          <w:rFonts w:ascii="Times New Roman" w:hAnsi="Times New Roman" w:cs="Times New Roman"/>
          <w:spacing w:val="0"/>
        </w:rPr>
        <w:t xml:space="preserve"> MONTENEGRO FILHO, Misael. Novo Código de Processo Civil Comentado. São Paulo: Editora Atlas, 1ª edição, p. 930.</w:t>
      </w:r>
    </w:p>
  </w:footnote>
  <w:footnote w:id="4">
    <w:p w14:paraId="158C78CD" w14:textId="77777777" w:rsidR="00511459" w:rsidRPr="00511459" w:rsidRDefault="00511459" w:rsidP="00511459">
      <w:pPr>
        <w:pStyle w:val="Textodenotaderodap"/>
        <w:ind w:left="0" w:right="-568"/>
        <w:rPr>
          <w:rFonts w:ascii="Times New Roman" w:hAnsi="Times New Roman" w:cs="Times New Roman"/>
          <w:spacing w:val="0"/>
        </w:rPr>
      </w:pPr>
      <w:r w:rsidRPr="00511459">
        <w:rPr>
          <w:rStyle w:val="Refdenotaderodap"/>
          <w:rFonts w:ascii="Times New Roman" w:hAnsi="Times New Roman" w:cs="Times New Roman"/>
          <w:spacing w:val="0"/>
        </w:rPr>
        <w:footnoteRef/>
      </w:r>
      <w:r w:rsidRPr="00511459">
        <w:rPr>
          <w:rFonts w:ascii="Times New Roman" w:hAnsi="Times New Roman" w:cs="Times New Roman"/>
          <w:spacing w:val="0"/>
        </w:rPr>
        <w:t xml:space="preserve"> Art. 1.017.  A petição de agravo de instrumento será instruída:</w:t>
      </w:r>
    </w:p>
    <w:p w14:paraId="49031FAC" w14:textId="77777777" w:rsidR="00511459" w:rsidRPr="00511459" w:rsidRDefault="00511459" w:rsidP="00511459">
      <w:pPr>
        <w:pStyle w:val="Textodenotaderodap"/>
        <w:ind w:left="0" w:right="-568"/>
        <w:rPr>
          <w:rFonts w:ascii="Times New Roman" w:hAnsi="Times New Roman" w:cs="Times New Roman"/>
          <w:spacing w:val="0"/>
        </w:rPr>
      </w:pPr>
      <w:r w:rsidRPr="00511459">
        <w:rPr>
          <w:rFonts w:ascii="Times New Roman" w:hAnsi="Times New Roman" w:cs="Times New Roman"/>
          <w:spacing w:val="0"/>
        </w:rPr>
        <w:t>I - obrigatoriamente, com cópias da petição inicial, da contestação, da petição que ensejou a decisão agravada, da própria decisão agravada, da certidão da respectiva intimação ou outro documento oficial que comprove a tempestividade e das procurações outorgadas aos advogados do agravante e do agravado;</w:t>
      </w:r>
    </w:p>
    <w:p w14:paraId="17E2E31A" w14:textId="77777777" w:rsidR="00511459" w:rsidRPr="00511459" w:rsidRDefault="00511459" w:rsidP="00511459">
      <w:pPr>
        <w:pStyle w:val="Textodenotaderodap"/>
        <w:ind w:left="0" w:right="-568"/>
        <w:rPr>
          <w:rFonts w:ascii="Times New Roman" w:hAnsi="Times New Roman" w:cs="Times New Roman"/>
          <w:spacing w:val="0"/>
        </w:rPr>
      </w:pPr>
      <w:r w:rsidRPr="00511459">
        <w:rPr>
          <w:rFonts w:ascii="Times New Roman" w:hAnsi="Times New Roman" w:cs="Times New Roman"/>
          <w:spacing w:val="0"/>
        </w:rPr>
        <w:t>II - com declaração de inexistência de qualquer dos documentos referidos no inciso I, feita pelo advogado do agravante, sob pena de sua responsabilidade pessoal;</w:t>
      </w:r>
    </w:p>
    <w:p w14:paraId="762F1936" w14:textId="77777777" w:rsidR="00511459" w:rsidRPr="00511459" w:rsidRDefault="00511459" w:rsidP="00511459">
      <w:pPr>
        <w:pStyle w:val="Textodenotaderodap"/>
        <w:ind w:left="0" w:right="-568"/>
        <w:rPr>
          <w:rFonts w:ascii="Times New Roman" w:hAnsi="Times New Roman" w:cs="Times New Roman"/>
          <w:spacing w:val="0"/>
        </w:rPr>
      </w:pPr>
      <w:r w:rsidRPr="00511459">
        <w:rPr>
          <w:rFonts w:ascii="Times New Roman" w:hAnsi="Times New Roman" w:cs="Times New Roman"/>
          <w:spacing w:val="0"/>
        </w:rPr>
        <w:t>III - facultativamente, com outras peças que o agravante reputar úteis.</w:t>
      </w:r>
    </w:p>
    <w:p w14:paraId="07E71260" w14:textId="77777777" w:rsidR="00511459" w:rsidRPr="00511459" w:rsidRDefault="00511459" w:rsidP="00511459">
      <w:pPr>
        <w:pStyle w:val="Textodenotaderodap"/>
        <w:ind w:left="0" w:right="-568"/>
        <w:rPr>
          <w:rFonts w:ascii="Times New Roman" w:hAnsi="Times New Roman" w:cs="Times New Roman"/>
          <w:spacing w:val="0"/>
        </w:rPr>
      </w:pPr>
      <w:r w:rsidRPr="00511459">
        <w:rPr>
          <w:rFonts w:ascii="Times New Roman" w:hAnsi="Times New Roman" w:cs="Times New Roman"/>
          <w:spacing w:val="0"/>
        </w:rPr>
        <w:t>(...)</w:t>
      </w:r>
    </w:p>
    <w:p w14:paraId="46B893C3" w14:textId="77777777" w:rsidR="00511459" w:rsidRPr="00511459" w:rsidRDefault="00511459" w:rsidP="00511459">
      <w:pPr>
        <w:pStyle w:val="Textodenotaderodap"/>
        <w:ind w:left="0" w:right="-568"/>
        <w:rPr>
          <w:rFonts w:ascii="Times New Roman" w:hAnsi="Times New Roman" w:cs="Times New Roman"/>
          <w:spacing w:val="0"/>
        </w:rPr>
      </w:pPr>
      <w:r w:rsidRPr="00511459">
        <w:rPr>
          <w:rFonts w:ascii="Times New Roman" w:hAnsi="Times New Roman" w:cs="Times New Roman"/>
          <w:spacing w:val="0"/>
        </w:rPr>
        <w:t>§ 5o Sendo eletrônicos os autos do processo, dispensam-se as peças referidas nos incisos I e II do caput, facultando-se ao agravante anexar outros documentos que entender úteis para a compreensão da controvérsia.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75"/>
    <w:rsid w:val="003748D9"/>
    <w:rsid w:val="00435646"/>
    <w:rsid w:val="004878DA"/>
    <w:rsid w:val="004B6799"/>
    <w:rsid w:val="00511459"/>
    <w:rsid w:val="005F48A6"/>
    <w:rsid w:val="00676A0D"/>
    <w:rsid w:val="006B3321"/>
    <w:rsid w:val="008271ED"/>
    <w:rsid w:val="0083213D"/>
    <w:rsid w:val="008F1C04"/>
    <w:rsid w:val="00C52D75"/>
    <w:rsid w:val="00C623E5"/>
    <w:rsid w:val="00CD1FB4"/>
    <w:rsid w:val="00D86C77"/>
    <w:rsid w:val="00DD1B36"/>
    <w:rsid w:val="00E63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0B4B"/>
  <w15:docId w15:val="{5601A111-7962-44D6-AF06-75CF0F4A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F1C04"/>
    <w:rPr>
      <w:sz w:val="20"/>
      <w:szCs w:val="20"/>
    </w:rPr>
  </w:style>
  <w:style w:type="character" w:customStyle="1" w:styleId="TextodenotaderodapChar">
    <w:name w:val="Texto de nota de rodapé Char"/>
    <w:basedOn w:val="Fontepargpadro"/>
    <w:link w:val="Textodenotaderodap"/>
    <w:uiPriority w:val="99"/>
    <w:semiHidden/>
    <w:rsid w:val="008F1C04"/>
    <w:rPr>
      <w:sz w:val="20"/>
      <w:szCs w:val="20"/>
    </w:rPr>
  </w:style>
  <w:style w:type="character" w:styleId="Refdenotaderodap">
    <w:name w:val="footnote reference"/>
    <w:basedOn w:val="Fontepargpadro"/>
    <w:uiPriority w:val="99"/>
    <w:semiHidden/>
    <w:unhideWhenUsed/>
    <w:rsid w:val="008F1C04"/>
    <w:rPr>
      <w:vertAlign w:val="superscript"/>
    </w:rPr>
  </w:style>
  <w:style w:type="character" w:styleId="Forte">
    <w:name w:val="Strong"/>
    <w:uiPriority w:val="22"/>
    <w:qFormat/>
    <w:rsid w:val="008271ED"/>
    <w:rPr>
      <w:rFonts w:ascii="Times New Roman" w:hAnsi="Times New Roman" w:cs="Times New Roman" w:hint="default"/>
      <w:b/>
      <w:bCs/>
      <w:w w:val="100"/>
    </w:rPr>
  </w:style>
  <w:style w:type="paragraph" w:styleId="Ttulo">
    <w:name w:val="Title"/>
    <w:basedOn w:val="Normal"/>
    <w:link w:val="TtuloChar"/>
    <w:uiPriority w:val="10"/>
    <w:qFormat/>
    <w:rsid w:val="008271ED"/>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8271ED"/>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15B2-78E9-4980-9531-3AE51D20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3435</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2020-07-13T18:00:00Z</dcterms:created>
  <dcterms:modified xsi:type="dcterms:W3CDTF">2020-08-28T00:56:00Z</dcterms:modified>
</cp:coreProperties>
</file>