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6975" w14:textId="77777777" w:rsidR="00EE39F8" w:rsidRPr="00DC2E85" w:rsidRDefault="00EE39F8" w:rsidP="00DC2E8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DC2E85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14:paraId="590FA1F1" w14:textId="2CA96CF1" w:rsidR="009213A8" w:rsidRDefault="00E26B65" w:rsidP="00DC2E8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9213A8" w:rsidRPr="00DC2E85">
        <w:rPr>
          <w:rFonts w:ascii="Arial Black" w:hAnsi="Arial Black" w:cs="Times New Roman"/>
          <w:color w:val="auto"/>
          <w:sz w:val="24"/>
          <w:szCs w:val="24"/>
        </w:rPr>
        <w:t>ARBITRAGEM</w:t>
      </w:r>
      <w:r w:rsidR="00EE39F8" w:rsidRPr="00DC2E85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9213A8" w:rsidRPr="00DC2E85">
        <w:rPr>
          <w:rFonts w:ascii="Arial Black" w:hAnsi="Arial Black" w:cs="Times New Roman"/>
          <w:color w:val="auto"/>
          <w:sz w:val="24"/>
          <w:szCs w:val="24"/>
        </w:rPr>
        <w:t>SENTENÇA ARBITRAL. AÇÃO ORDINÁRIA DE SUA NULIDADE</w:t>
      </w:r>
    </w:p>
    <w:p w14:paraId="47C47EE1" w14:textId="77777777" w:rsidR="003F26A9" w:rsidRDefault="003F26A9" w:rsidP="003F26A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8445FE5" w14:textId="77777777" w:rsidR="003F26A9" w:rsidRPr="00DC2E85" w:rsidRDefault="003F26A9" w:rsidP="00DC2E8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</w:p>
    <w:p w14:paraId="521FAC15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4197DF1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C2E85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DC2E85">
        <w:rPr>
          <w:rFonts w:ascii="Times New Roman" w:hAnsi="Times New Roman" w:cs="Times New Roman"/>
          <w:sz w:val="24"/>
          <w:szCs w:val="24"/>
        </w:rPr>
        <w:t>:</w:t>
      </w:r>
    </w:p>
    <w:p w14:paraId="01015801" w14:textId="77777777" w:rsidR="009213A8" w:rsidRPr="009213A8" w:rsidRDefault="009213A8" w:rsidP="00DC2E8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- A inicial atenderá às exigências do art. </w:t>
      </w:r>
      <w:r w:rsidR="00EE39F8">
        <w:rPr>
          <w:rFonts w:ascii="Times New Roman" w:hAnsi="Times New Roman" w:cs="Times New Roman"/>
          <w:sz w:val="24"/>
          <w:szCs w:val="24"/>
        </w:rPr>
        <w:t>319</w:t>
      </w:r>
      <w:r w:rsidRPr="009213A8">
        <w:rPr>
          <w:rFonts w:ascii="Times New Roman" w:hAnsi="Times New Roman" w:cs="Times New Roman"/>
          <w:sz w:val="24"/>
          <w:szCs w:val="24"/>
        </w:rPr>
        <w:t xml:space="preserve"> do CPC.</w:t>
      </w:r>
    </w:p>
    <w:p w14:paraId="2B99BC7C" w14:textId="77777777" w:rsidR="009213A8" w:rsidRPr="009213A8" w:rsidRDefault="009213A8" w:rsidP="00DC2E8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- As causas da nulidade da sentença arbitral estão previstas no art. 32 da Lei n. 9.307/1996.</w:t>
      </w:r>
    </w:p>
    <w:p w14:paraId="43E0BBA3" w14:textId="77777777" w:rsidR="009213A8" w:rsidRPr="009213A8" w:rsidRDefault="009213A8" w:rsidP="00DC2E8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- Se a nulidade da sentença referir-se às hipóteses dos incisos III, IV e V do art. 32, o pedido será a nulidade e a determinação de que o árbitro profira outra, superando as irregularidades apontadas.</w:t>
      </w:r>
    </w:p>
    <w:p w14:paraId="1F8B3259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A173F1F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14:paraId="28DD6A58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14582E4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9213A8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9213A8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 art. 32 da Lei n. 9.307, de 23.09.96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213A8">
        <w:rPr>
          <w:rFonts w:ascii="Times New Roman" w:hAnsi="Times New Roman" w:cs="Times New Roman"/>
          <w:sz w:val="24"/>
          <w:szCs w:val="24"/>
        </w:rPr>
        <w:t xml:space="preserve"> e nos arts. </w:t>
      </w:r>
      <w:r w:rsidR="00EE39F8">
        <w:rPr>
          <w:rFonts w:ascii="Times New Roman" w:hAnsi="Times New Roman" w:cs="Times New Roman"/>
          <w:sz w:val="24"/>
          <w:szCs w:val="24"/>
        </w:rPr>
        <w:t>319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13A8">
        <w:rPr>
          <w:rFonts w:ascii="Times New Roman" w:hAnsi="Times New Roman" w:cs="Times New Roman"/>
          <w:sz w:val="24"/>
          <w:szCs w:val="24"/>
        </w:rPr>
        <w:t xml:space="preserve"> e seguintes do Código de Processo Civil, propor a </w:t>
      </w:r>
      <w:r w:rsidRPr="009213A8">
        <w:rPr>
          <w:rFonts w:ascii="Times New Roman" w:hAnsi="Times New Roman" w:cs="Times New Roman"/>
          <w:bCs/>
          <w:sz w:val="24"/>
          <w:szCs w:val="24"/>
        </w:rPr>
        <w:t>presente AÇÃO ORDINÁRIA DE</w:t>
      </w:r>
      <w:r w:rsidRPr="00921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A8">
        <w:rPr>
          <w:rFonts w:ascii="Times New Roman" w:hAnsi="Times New Roman" w:cs="Times New Roman"/>
          <w:bCs/>
          <w:sz w:val="24"/>
          <w:szCs w:val="24"/>
        </w:rPr>
        <w:t>NULIDADE DE SENTENÇA ARBITRAL</w:t>
      </w:r>
      <w:r w:rsidRPr="009213A8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72BB4542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55CEC6A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1. Os contendores firmaram no contrato de ... uma convenção de arbitragem. Diante da discordância na resolução do ajuste, deu-se início à arbitragem extrajudicial, tendo sido proferida a sentença arbitral (art. 23 da Lei n. 9.307 de 23.09.96)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213A8">
        <w:rPr>
          <w:rFonts w:ascii="Times New Roman" w:hAnsi="Times New Roman" w:cs="Times New Roman"/>
          <w:sz w:val="24"/>
          <w:szCs w:val="24"/>
        </w:rPr>
        <w:t xml:space="preserve">, intimado o autor no dia ..., conforme documentos ora anexados. </w:t>
      </w:r>
    </w:p>
    <w:p w14:paraId="28E666AA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9FD5E87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2.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Data venia, </w:t>
      </w:r>
      <w:r w:rsidRPr="009213A8">
        <w:rPr>
          <w:rFonts w:ascii="Times New Roman" w:hAnsi="Times New Roman" w:cs="Times New Roman"/>
          <w:sz w:val="24"/>
          <w:szCs w:val="24"/>
        </w:rPr>
        <w:t>sucedeu inarredável nulidade no processo de arbitragem, pois verificada a ocorrência prevista no inciso ... do art. 32 da Lei n. 9.307/1996.</w:t>
      </w:r>
    </w:p>
    <w:p w14:paraId="7820218E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3B42D7D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3. Desenvolver a causa e os fundamentos que justifiquem a alegada nulidade da sentença arbitral ...</w:t>
      </w:r>
    </w:p>
    <w:p w14:paraId="3241D347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2530D7B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4. </w:t>
      </w:r>
      <w:r w:rsidRPr="009213A8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213A8">
        <w:rPr>
          <w:rFonts w:ascii="Times New Roman" w:hAnsi="Times New Roman" w:cs="Times New Roman"/>
          <w:sz w:val="24"/>
          <w:szCs w:val="24"/>
        </w:rPr>
        <w:t>, o autor REQUER:</w:t>
      </w:r>
    </w:p>
    <w:p w14:paraId="6738F47C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F0819DC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- seja JULGADA PROCEDENTE a presente ação, para decretar nula a sentença arbitral objurgada, determinando-se que o árbitro profira outro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9213A8">
        <w:rPr>
          <w:rFonts w:ascii="Times New Roman" w:hAnsi="Times New Roman" w:cs="Times New Roman"/>
          <w:sz w:val="24"/>
          <w:szCs w:val="24"/>
        </w:rPr>
        <w:t xml:space="preserve">, obediente aos ditames legais, </w:t>
      </w:r>
      <w:r w:rsidRPr="009213A8">
        <w:rPr>
          <w:rFonts w:ascii="Times New Roman" w:hAnsi="Times New Roman" w:cs="Times New Roman"/>
          <w:sz w:val="24"/>
          <w:szCs w:val="24"/>
        </w:rPr>
        <w:lastRenderedPageBreak/>
        <w:t>sem mais incorrer nas nulidades previstas no art. 32 da Lei n. 9.307/96; condenando o demandado ao pagamento das custas e honorários advocatícios;</w:t>
      </w:r>
    </w:p>
    <w:p w14:paraId="44D4B41C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F0E6FF0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9213A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gramStart"/>
      <w:r w:rsidRPr="009213A8">
        <w:rPr>
          <w:rFonts w:ascii="Times New Roman" w:hAnsi="Times New Roman" w:cs="Times New Roman"/>
          <w:spacing w:val="-4"/>
          <w:sz w:val="24"/>
          <w:szCs w:val="24"/>
        </w:rPr>
        <w:t>seja</w:t>
      </w:r>
      <w:proofErr w:type="gramEnd"/>
      <w:r w:rsidRPr="009213A8">
        <w:rPr>
          <w:rFonts w:ascii="Times New Roman" w:hAnsi="Times New Roman" w:cs="Times New Roman"/>
          <w:spacing w:val="-4"/>
          <w:sz w:val="24"/>
          <w:szCs w:val="24"/>
        </w:rPr>
        <w:t xml:space="preserve"> citada o réu no endereço registrado no preâmbulo, para, querendo, contestar, sob pena de revelia;</w:t>
      </w:r>
    </w:p>
    <w:p w14:paraId="57E914E4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3D34C57" w14:textId="77777777" w:rsid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- a produção de provas em direito admitidas.</w:t>
      </w:r>
    </w:p>
    <w:p w14:paraId="7C247374" w14:textId="77777777" w:rsidR="00BB6D22" w:rsidRDefault="00BB6D22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D6E1EC8" w14:textId="77777777" w:rsidR="00BB6D22" w:rsidRPr="009213A8" w:rsidRDefault="00BB6D22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manifesta o interesse pela realização de audiência de conciliação.</w:t>
      </w:r>
    </w:p>
    <w:p w14:paraId="249F9907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9BE6821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38AD7183" w14:textId="77777777" w:rsidR="009213A8" w:rsidRPr="009213A8" w:rsidRDefault="009213A8" w:rsidP="00DC2E8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0E878EB" w14:textId="77777777" w:rsidR="009213A8" w:rsidRPr="009213A8" w:rsidRDefault="009213A8" w:rsidP="00DC2E8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P. Deferimento.</w:t>
      </w:r>
    </w:p>
    <w:p w14:paraId="2173B068" w14:textId="77777777" w:rsidR="009213A8" w:rsidRPr="009213A8" w:rsidRDefault="009213A8" w:rsidP="00DC2E8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(Local e data)</w:t>
      </w:r>
    </w:p>
    <w:p w14:paraId="6E4341F2" w14:textId="77777777" w:rsidR="009213A8" w:rsidRPr="009213A8" w:rsidRDefault="009213A8" w:rsidP="00DC2E8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2545DBA6" w14:textId="77777777" w:rsidR="00791835" w:rsidRDefault="00791835" w:rsidP="00DC2E85">
      <w:pPr>
        <w:ind w:right="-568"/>
      </w:pPr>
    </w:p>
    <w:sectPr w:rsidR="00791835" w:rsidSect="0060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2314" w14:textId="77777777" w:rsidR="00E87B17" w:rsidRDefault="00E87B17" w:rsidP="009213A8">
      <w:pPr>
        <w:spacing w:after="0" w:line="240" w:lineRule="auto"/>
      </w:pPr>
      <w:r>
        <w:separator/>
      </w:r>
    </w:p>
  </w:endnote>
  <w:endnote w:type="continuationSeparator" w:id="0">
    <w:p w14:paraId="33C1AE30" w14:textId="77777777" w:rsidR="00E87B17" w:rsidRDefault="00E87B17" w:rsidP="0092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B8B5" w14:textId="77777777" w:rsidR="00E87B17" w:rsidRDefault="00E87B17" w:rsidP="009213A8">
      <w:pPr>
        <w:spacing w:after="0" w:line="240" w:lineRule="auto"/>
      </w:pPr>
      <w:r>
        <w:separator/>
      </w:r>
    </w:p>
  </w:footnote>
  <w:footnote w:type="continuationSeparator" w:id="0">
    <w:p w14:paraId="0D93597B" w14:textId="77777777" w:rsidR="00E87B17" w:rsidRDefault="00E87B17" w:rsidP="009213A8">
      <w:pPr>
        <w:spacing w:after="0" w:line="240" w:lineRule="auto"/>
      </w:pPr>
      <w:r>
        <w:continuationSeparator/>
      </w:r>
    </w:p>
  </w:footnote>
  <w:footnote w:id="1">
    <w:p w14:paraId="1F25BB89" w14:textId="77777777" w:rsidR="009213A8" w:rsidRPr="009213A8" w:rsidRDefault="009213A8" w:rsidP="00DC2E8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Pr="009213A8">
        <w:rPr>
          <w:sz w:val="20"/>
          <w:szCs w:val="20"/>
        </w:rPr>
        <w:tab/>
      </w:r>
      <w:r w:rsidRPr="009213A8">
        <w:rPr>
          <w:b/>
          <w:bCs/>
          <w:sz w:val="20"/>
          <w:szCs w:val="20"/>
        </w:rPr>
        <w:t>Art. 32.</w:t>
      </w:r>
      <w:r w:rsidRPr="009213A8">
        <w:rPr>
          <w:sz w:val="20"/>
          <w:szCs w:val="20"/>
        </w:rPr>
        <w:t xml:space="preserve"> É nula a sentença arbitral se</w:t>
      </w:r>
      <w:r w:rsidRPr="009213A8">
        <w:rPr>
          <w:b/>
          <w:sz w:val="20"/>
          <w:szCs w:val="20"/>
        </w:rPr>
        <w:t>: I –</w:t>
      </w:r>
      <w:r w:rsidRPr="009213A8">
        <w:rPr>
          <w:sz w:val="20"/>
          <w:szCs w:val="20"/>
        </w:rPr>
        <w:t xml:space="preserve"> for nulo o compromisso; </w:t>
      </w:r>
      <w:r w:rsidRPr="009213A8">
        <w:rPr>
          <w:b/>
          <w:sz w:val="20"/>
          <w:szCs w:val="20"/>
        </w:rPr>
        <w:t>II –</w:t>
      </w:r>
      <w:r w:rsidRPr="009213A8">
        <w:rPr>
          <w:sz w:val="20"/>
          <w:szCs w:val="20"/>
        </w:rPr>
        <w:t xml:space="preserve"> emanou de quem não podia ser árbitro; </w:t>
      </w:r>
      <w:r w:rsidRPr="009213A8">
        <w:rPr>
          <w:b/>
          <w:sz w:val="20"/>
          <w:szCs w:val="20"/>
        </w:rPr>
        <w:t>III –</w:t>
      </w:r>
      <w:r w:rsidRPr="009213A8">
        <w:rPr>
          <w:sz w:val="20"/>
          <w:szCs w:val="20"/>
        </w:rPr>
        <w:t xml:space="preserve"> não contiver os requisitos do </w:t>
      </w:r>
      <w:r w:rsidRPr="009213A8">
        <w:rPr>
          <w:rStyle w:val="Hyperlink"/>
          <w:sz w:val="20"/>
          <w:szCs w:val="20"/>
        </w:rPr>
        <w:t>Art. 26</w:t>
      </w:r>
      <w:r w:rsidRPr="009213A8">
        <w:rPr>
          <w:sz w:val="20"/>
          <w:szCs w:val="20"/>
        </w:rPr>
        <w:t xml:space="preserve"> desta Lei; </w:t>
      </w:r>
      <w:r w:rsidRPr="009213A8">
        <w:rPr>
          <w:b/>
          <w:sz w:val="20"/>
          <w:szCs w:val="20"/>
        </w:rPr>
        <w:t>IV –</w:t>
      </w:r>
      <w:r w:rsidRPr="009213A8">
        <w:rPr>
          <w:sz w:val="20"/>
          <w:szCs w:val="20"/>
        </w:rPr>
        <w:t xml:space="preserve"> for proferida fora dos limites da convenção de arbitragem; </w:t>
      </w:r>
      <w:r w:rsidRPr="009213A8">
        <w:rPr>
          <w:b/>
          <w:sz w:val="20"/>
          <w:szCs w:val="20"/>
        </w:rPr>
        <w:t>V –</w:t>
      </w:r>
      <w:r w:rsidRPr="009213A8">
        <w:rPr>
          <w:sz w:val="20"/>
          <w:szCs w:val="20"/>
        </w:rPr>
        <w:t xml:space="preserve"> não decidir todo o litígio submetido à arbitragem; VI – comprovado que foi proferida por prevaricação, concussão ou corrupção passiva; </w:t>
      </w:r>
      <w:r w:rsidRPr="009213A8">
        <w:rPr>
          <w:b/>
          <w:sz w:val="20"/>
          <w:szCs w:val="20"/>
        </w:rPr>
        <w:t xml:space="preserve">VII </w:t>
      </w:r>
      <w:r w:rsidRPr="009213A8">
        <w:rPr>
          <w:sz w:val="20"/>
          <w:szCs w:val="20"/>
        </w:rPr>
        <w:t xml:space="preserve">– proferida fora do prazo, respeitado o disposto no </w:t>
      </w:r>
      <w:r w:rsidRPr="009213A8">
        <w:rPr>
          <w:rStyle w:val="Hyperlink"/>
          <w:sz w:val="20"/>
          <w:szCs w:val="20"/>
        </w:rPr>
        <w:t>Art. 12, inciso III</w:t>
      </w:r>
      <w:r w:rsidRPr="009213A8">
        <w:rPr>
          <w:sz w:val="20"/>
          <w:szCs w:val="20"/>
        </w:rPr>
        <w:t xml:space="preserve">, </w:t>
      </w:r>
      <w:r w:rsidRPr="009213A8">
        <w:rPr>
          <w:spacing w:val="-2"/>
          <w:sz w:val="20"/>
          <w:szCs w:val="20"/>
        </w:rPr>
        <w:t xml:space="preserve">desta Lei; e </w:t>
      </w:r>
      <w:r w:rsidRPr="009213A8">
        <w:rPr>
          <w:rStyle w:val="Hyperlink"/>
          <w:spacing w:val="-2"/>
          <w:sz w:val="20"/>
          <w:szCs w:val="20"/>
        </w:rPr>
        <w:t>Art. 33, § 2º, I;</w:t>
      </w:r>
      <w:r w:rsidRPr="009213A8">
        <w:rPr>
          <w:spacing w:val="-2"/>
          <w:sz w:val="20"/>
          <w:szCs w:val="20"/>
        </w:rPr>
        <w:t xml:space="preserve"> </w:t>
      </w:r>
      <w:r w:rsidRPr="009213A8">
        <w:rPr>
          <w:b/>
          <w:spacing w:val="-2"/>
          <w:sz w:val="20"/>
          <w:szCs w:val="20"/>
        </w:rPr>
        <w:t>VIII –</w:t>
      </w:r>
      <w:r w:rsidRPr="009213A8">
        <w:rPr>
          <w:spacing w:val="-2"/>
          <w:sz w:val="20"/>
          <w:szCs w:val="20"/>
        </w:rPr>
        <w:t xml:space="preserve"> forem desrespeitados os princípios de que trata o </w:t>
      </w:r>
      <w:r w:rsidRPr="009213A8">
        <w:rPr>
          <w:rStyle w:val="Hyperlink"/>
          <w:spacing w:val="-2"/>
          <w:sz w:val="20"/>
          <w:szCs w:val="20"/>
        </w:rPr>
        <w:t>Art. 21, § 2º</w:t>
      </w:r>
      <w:r w:rsidRPr="009213A8">
        <w:rPr>
          <w:spacing w:val="-2"/>
          <w:sz w:val="20"/>
          <w:szCs w:val="20"/>
        </w:rPr>
        <w:t>, desta Lei.</w:t>
      </w:r>
    </w:p>
  </w:footnote>
  <w:footnote w:id="2">
    <w:p w14:paraId="059848BF" w14:textId="77777777" w:rsidR="009213A8" w:rsidRPr="00EE39F8" w:rsidRDefault="009213A8" w:rsidP="00DC2E85">
      <w:pPr>
        <w:pStyle w:val="Rodap"/>
        <w:tabs>
          <w:tab w:val="right" w:pos="9356"/>
        </w:tabs>
        <w:ind w:right="-567"/>
        <w:jc w:val="both"/>
        <w:rPr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="00EE39F8" w:rsidRPr="00EE39F8">
        <w:rPr>
          <w:b/>
          <w:bCs/>
          <w:sz w:val="20"/>
          <w:szCs w:val="20"/>
        </w:rPr>
        <w:t xml:space="preserve">Art. 319. </w:t>
      </w:r>
      <w:r w:rsidR="00EE39F8" w:rsidRPr="00EE39F8">
        <w:rPr>
          <w:sz w:val="20"/>
          <w:szCs w:val="20"/>
        </w:rPr>
        <w:t>A petição inicial indicará: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>I</w:t>
      </w:r>
      <w:r w:rsidR="00EE39F8" w:rsidRPr="00EE39F8">
        <w:rPr>
          <w:sz w:val="20"/>
          <w:szCs w:val="20"/>
        </w:rPr>
        <w:t xml:space="preserve"> - o juízo a que é dirigida;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 xml:space="preserve">II </w:t>
      </w:r>
      <w:r w:rsidR="00EE39F8" w:rsidRPr="00EE39F8">
        <w:rPr>
          <w:sz w:val="20"/>
          <w:szCs w:val="20"/>
        </w:rPr>
        <w:t>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 xml:space="preserve">III - </w:t>
      </w:r>
      <w:r w:rsidR="00EE39F8" w:rsidRPr="00EE39F8">
        <w:rPr>
          <w:sz w:val="20"/>
          <w:szCs w:val="20"/>
        </w:rPr>
        <w:t>o fato e os fundamentos jurídicos do pedido;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 xml:space="preserve">IV </w:t>
      </w:r>
      <w:r w:rsidR="00EE39F8" w:rsidRPr="00EE39F8">
        <w:rPr>
          <w:sz w:val="20"/>
          <w:szCs w:val="20"/>
        </w:rPr>
        <w:t>- o pedido com as suas especificações;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>V</w:t>
      </w:r>
      <w:r w:rsidR="00EE39F8" w:rsidRPr="00EE39F8">
        <w:rPr>
          <w:sz w:val="20"/>
          <w:szCs w:val="20"/>
        </w:rPr>
        <w:t xml:space="preserve"> - o valor da causa;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 xml:space="preserve">VI </w:t>
      </w:r>
      <w:r w:rsidR="00EE39F8" w:rsidRPr="00EE39F8">
        <w:rPr>
          <w:sz w:val="20"/>
          <w:szCs w:val="20"/>
        </w:rPr>
        <w:t>- as provas com que o autor pretende demonstrar a verdade dos fatos alegados;</w:t>
      </w:r>
      <w:r w:rsidR="00EE39F8">
        <w:rPr>
          <w:sz w:val="20"/>
          <w:szCs w:val="20"/>
        </w:rPr>
        <w:t xml:space="preserve"> </w:t>
      </w:r>
      <w:r w:rsidR="00EE39F8" w:rsidRPr="00EE39F8">
        <w:rPr>
          <w:b/>
          <w:bCs/>
          <w:sz w:val="20"/>
          <w:szCs w:val="20"/>
        </w:rPr>
        <w:t xml:space="preserve">VII </w:t>
      </w:r>
      <w:r w:rsidR="00EE39F8" w:rsidRPr="00EE39F8">
        <w:rPr>
          <w:sz w:val="20"/>
          <w:szCs w:val="20"/>
        </w:rPr>
        <w:t>- a opção do autor pela realização ou não de audiência de conciliação ou de mediação.</w:t>
      </w:r>
    </w:p>
  </w:footnote>
  <w:footnote w:id="3">
    <w:p w14:paraId="3E2B6FEC" w14:textId="77777777" w:rsidR="009213A8" w:rsidRPr="009213A8" w:rsidRDefault="009213A8" w:rsidP="00DC2E85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Pr="009213A8">
        <w:rPr>
          <w:sz w:val="20"/>
          <w:szCs w:val="20"/>
        </w:rPr>
        <w:tab/>
      </w:r>
      <w:r w:rsidRPr="009213A8">
        <w:rPr>
          <w:b/>
          <w:bCs/>
          <w:sz w:val="20"/>
          <w:szCs w:val="20"/>
        </w:rPr>
        <w:t xml:space="preserve">Art. 23. </w:t>
      </w:r>
      <w:r w:rsidRPr="009213A8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9213A8">
        <w:rPr>
          <w:spacing w:val="-2"/>
          <w:sz w:val="20"/>
          <w:szCs w:val="20"/>
        </w:rPr>
        <w:t xml:space="preserve">do árbitro. </w:t>
      </w:r>
      <w:r w:rsidRPr="009213A8">
        <w:rPr>
          <w:b/>
          <w:spacing w:val="-2"/>
          <w:sz w:val="20"/>
          <w:szCs w:val="20"/>
        </w:rPr>
        <w:t>Parágrafo único</w:t>
      </w:r>
      <w:r w:rsidRPr="009213A8">
        <w:rPr>
          <w:spacing w:val="-2"/>
          <w:sz w:val="20"/>
          <w:szCs w:val="20"/>
        </w:rPr>
        <w:t>. As partes e os árbitros, de comum acordo, poderão prorrogar o prazo estipulado.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A8"/>
    <w:rsid w:val="000F693C"/>
    <w:rsid w:val="00127EB5"/>
    <w:rsid w:val="002518C0"/>
    <w:rsid w:val="003F26A9"/>
    <w:rsid w:val="00483F58"/>
    <w:rsid w:val="004B3792"/>
    <w:rsid w:val="00605F60"/>
    <w:rsid w:val="0074001E"/>
    <w:rsid w:val="00791835"/>
    <w:rsid w:val="009213A8"/>
    <w:rsid w:val="00BB6D22"/>
    <w:rsid w:val="00DC2E85"/>
    <w:rsid w:val="00E26B65"/>
    <w:rsid w:val="00E87B17"/>
    <w:rsid w:val="00E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8C50"/>
  <w15:docId w15:val="{BEFAD921-A9F7-4236-93AC-690BBE3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13A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13A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213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213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213A8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9213A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9213A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9213A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3F26A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2020-07-09T19:06:00Z</dcterms:created>
  <dcterms:modified xsi:type="dcterms:W3CDTF">2020-08-28T00:49:00Z</dcterms:modified>
</cp:coreProperties>
</file>