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8E18" w14:textId="77777777" w:rsidR="0042099A" w:rsidRPr="009636B5" w:rsidRDefault="0042099A" w:rsidP="009636B5">
      <w:pPr>
        <w:pStyle w:val="Ttulo"/>
        <w:spacing w:before="0" w:after="0" w:line="240" w:lineRule="auto"/>
        <w:ind w:right="-568"/>
        <w:rPr>
          <w:rFonts w:ascii="Arial Black" w:hAnsi="Arial Black"/>
          <w:color w:val="auto"/>
          <w:sz w:val="24"/>
          <w:szCs w:val="24"/>
        </w:rPr>
      </w:pPr>
      <w:r w:rsidRPr="009636B5">
        <w:rPr>
          <w:rFonts w:ascii="Arial Black" w:hAnsi="Arial Black"/>
          <w:color w:val="auto"/>
          <w:sz w:val="24"/>
          <w:szCs w:val="24"/>
        </w:rPr>
        <w:t>MODELO DE PETIÇÃO</w:t>
      </w:r>
    </w:p>
    <w:p w14:paraId="2194D2B9" w14:textId="365C1967" w:rsidR="005C77B9" w:rsidRPr="009636B5" w:rsidRDefault="00242409" w:rsidP="009636B5">
      <w:pPr>
        <w:pStyle w:val="Ttulo"/>
        <w:spacing w:before="0" w:after="0" w:line="240" w:lineRule="auto"/>
        <w:ind w:right="-568"/>
        <w:rPr>
          <w:rFonts w:ascii="Arial Black" w:hAnsi="Arial Black"/>
          <w:color w:val="auto"/>
          <w:sz w:val="24"/>
          <w:szCs w:val="24"/>
        </w:rPr>
      </w:pPr>
      <w:r>
        <w:rPr>
          <w:rFonts w:ascii="Arial Black" w:hAnsi="Arial Black"/>
          <w:b w:val="0"/>
          <w:sz w:val="24"/>
          <w:szCs w:val="24"/>
        </w:rPr>
        <w:t xml:space="preserve">PROCESSO CIVIL. </w:t>
      </w:r>
      <w:r w:rsidR="00373B4E" w:rsidRPr="009636B5">
        <w:rPr>
          <w:rFonts w:ascii="Arial Black" w:hAnsi="Arial Black"/>
          <w:color w:val="auto"/>
          <w:sz w:val="24"/>
          <w:szCs w:val="24"/>
        </w:rPr>
        <w:t>ARBITRAGEM</w:t>
      </w:r>
      <w:r w:rsidR="0042099A" w:rsidRPr="009636B5">
        <w:rPr>
          <w:rFonts w:ascii="Arial Black" w:hAnsi="Arial Black"/>
          <w:color w:val="auto"/>
          <w:sz w:val="24"/>
          <w:szCs w:val="24"/>
        </w:rPr>
        <w:t xml:space="preserve">. </w:t>
      </w:r>
      <w:r w:rsidR="00373B4E" w:rsidRPr="009636B5">
        <w:rPr>
          <w:rFonts w:ascii="Arial Black" w:hAnsi="Arial Black"/>
          <w:color w:val="auto"/>
          <w:sz w:val="24"/>
          <w:szCs w:val="24"/>
        </w:rPr>
        <w:t>COMPROMISSO EXTRAJUDICIAL</w:t>
      </w:r>
      <w:r w:rsidR="005C77B9" w:rsidRPr="009636B5">
        <w:rPr>
          <w:rFonts w:ascii="Arial Black" w:hAnsi="Arial Black"/>
          <w:color w:val="auto"/>
          <w:sz w:val="24"/>
          <w:szCs w:val="24"/>
        </w:rPr>
        <w:t>.</w:t>
      </w:r>
    </w:p>
    <w:p w14:paraId="6564D48A" w14:textId="77777777" w:rsidR="00373B4E" w:rsidRDefault="00373B4E" w:rsidP="009636B5">
      <w:pPr>
        <w:pStyle w:val="Ttulo"/>
        <w:spacing w:before="0" w:after="0" w:line="240" w:lineRule="auto"/>
        <w:ind w:right="-568"/>
        <w:rPr>
          <w:rFonts w:ascii="Arial Black" w:hAnsi="Arial Black"/>
          <w:color w:val="auto"/>
          <w:sz w:val="24"/>
          <w:szCs w:val="24"/>
        </w:rPr>
      </w:pPr>
      <w:r w:rsidRPr="009636B5">
        <w:rPr>
          <w:rFonts w:ascii="Arial Black" w:hAnsi="Arial Black"/>
          <w:color w:val="auto"/>
          <w:sz w:val="24"/>
          <w:szCs w:val="24"/>
        </w:rPr>
        <w:t>CRITÉRIOS ESPECIAIS</w:t>
      </w:r>
    </w:p>
    <w:p w14:paraId="683AA5B5" w14:textId="77777777" w:rsidR="00D86E5D" w:rsidRDefault="00D86E5D" w:rsidP="00D86E5D">
      <w:pPr>
        <w:pStyle w:val="Ttulo"/>
        <w:spacing w:before="0" w:after="0" w:line="240" w:lineRule="auto"/>
        <w:ind w:right="-568"/>
        <w:jc w:val="right"/>
        <w:rPr>
          <w:rStyle w:val="Forte"/>
          <w:rFonts w:ascii="Arial Black" w:hAnsi="Arial Black" w:cs="Arial"/>
          <w:sz w:val="24"/>
          <w:szCs w:val="24"/>
        </w:rPr>
      </w:pPr>
      <w:r>
        <w:rPr>
          <w:rStyle w:val="Forte"/>
          <w:rFonts w:ascii="Arial Black" w:hAnsi="Arial Black" w:cs="Arial"/>
          <w:sz w:val="24"/>
          <w:szCs w:val="24"/>
        </w:rPr>
        <w:t>Rénan Kfuri Lopes</w:t>
      </w:r>
    </w:p>
    <w:p w14:paraId="2CF404BF" w14:textId="77777777" w:rsidR="00D86E5D" w:rsidRPr="009636B5" w:rsidRDefault="00D86E5D" w:rsidP="009636B5">
      <w:pPr>
        <w:pStyle w:val="Ttulo"/>
        <w:spacing w:before="0" w:after="0" w:line="240" w:lineRule="auto"/>
        <w:ind w:right="-568"/>
        <w:rPr>
          <w:rFonts w:ascii="Arial Black" w:hAnsi="Arial Black"/>
          <w:color w:val="auto"/>
          <w:sz w:val="24"/>
          <w:szCs w:val="24"/>
        </w:rPr>
      </w:pPr>
    </w:p>
    <w:p w14:paraId="2866CDC2" w14:textId="77777777" w:rsidR="00373B4E" w:rsidRPr="00950040" w:rsidRDefault="00373B4E" w:rsidP="009636B5">
      <w:pPr>
        <w:pStyle w:val="Texto"/>
        <w:ind w:right="-568"/>
      </w:pPr>
    </w:p>
    <w:p w14:paraId="0AF05210" w14:textId="77777777" w:rsidR="00373B4E" w:rsidRPr="009636B5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  <w:u w:val="single"/>
        </w:rPr>
      </w:pPr>
      <w:r w:rsidRPr="009636B5">
        <w:rPr>
          <w:rFonts w:ascii="Times New Roman" w:hAnsi="Times New Roman" w:cs="Times New Roman"/>
          <w:sz w:val="24"/>
          <w:szCs w:val="24"/>
          <w:u w:val="single"/>
        </w:rPr>
        <w:t>COMENTÁRIOS</w:t>
      </w:r>
    </w:p>
    <w:p w14:paraId="4088E756" w14:textId="77777777" w:rsidR="00373B4E" w:rsidRPr="00373B4E" w:rsidRDefault="00373B4E" w:rsidP="009636B5">
      <w:pPr>
        <w:pStyle w:val="Comentrios"/>
        <w:ind w:left="0"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- Esse compromisso poderá ser feito através de instrumento público, com os mesmos requisitos constantes dos arts. 10 e 11 da Lei n. 9.307, de 23.09.96</w:t>
      </w:r>
      <w:r w:rsidRPr="00373B4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73B4E">
        <w:rPr>
          <w:rFonts w:ascii="Times New Roman" w:hAnsi="Times New Roman" w:cs="Times New Roman"/>
          <w:sz w:val="24"/>
          <w:szCs w:val="24"/>
        </w:rPr>
        <w:t>.</w:t>
      </w:r>
    </w:p>
    <w:p w14:paraId="5F1F9892" w14:textId="77777777" w:rsidR="00373B4E" w:rsidRPr="00373B4E" w:rsidRDefault="00373B4E" w:rsidP="009636B5">
      <w:pPr>
        <w:pStyle w:val="Comentrios"/>
        <w:ind w:left="0"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- No caso de terem as partes delegado a indicação de árbitros a determinada entidade, identificá-la (inciso II do art. 10)</w:t>
      </w:r>
      <w:r w:rsidRPr="00373B4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73B4E">
        <w:rPr>
          <w:rFonts w:ascii="Times New Roman" w:hAnsi="Times New Roman" w:cs="Times New Roman"/>
          <w:sz w:val="24"/>
          <w:szCs w:val="24"/>
        </w:rPr>
        <w:t>.</w:t>
      </w:r>
    </w:p>
    <w:p w14:paraId="5A2CFA12" w14:textId="77777777" w:rsidR="00373B4E" w:rsidRPr="00373B4E" w:rsidRDefault="00373B4E" w:rsidP="009636B5">
      <w:pPr>
        <w:pStyle w:val="Comentrios"/>
        <w:ind w:left="0" w:right="-568"/>
        <w:rPr>
          <w:rFonts w:ascii="Times New Roman" w:hAnsi="Times New Roman" w:cs="Times New Roman"/>
          <w:sz w:val="24"/>
          <w:szCs w:val="24"/>
        </w:rPr>
      </w:pPr>
    </w:p>
    <w:p w14:paraId="0A826700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Por este instrumento particular de compromisso arbitral, de um lado (nome, profissão, estado civil e endereço) e de outro lado (nome, profissão, estado civil e endereço), têm entre si justo e contratado o seguinte:</w:t>
      </w:r>
    </w:p>
    <w:p w14:paraId="47B6120A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2EDED576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1. Os contratantes resolveram submeter o seguinte litígio ... à arbitragem na forma da Lei n. 9.307, de 23.09.96, pelo que firmam o presente compromisso arbitral que é a convenção através da qual as partes submetem um litígio à arbitragem de uma ou mais pessoas, conforme define o art. 9º</w:t>
      </w:r>
      <w:r w:rsidRPr="00373B4E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373B4E">
        <w:rPr>
          <w:rFonts w:ascii="Times New Roman" w:hAnsi="Times New Roman" w:cs="Times New Roman"/>
          <w:sz w:val="24"/>
          <w:szCs w:val="24"/>
        </w:rPr>
        <w:t xml:space="preserve"> do citado dispositivo legal.</w:t>
      </w:r>
    </w:p>
    <w:p w14:paraId="35AFE2D0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379D2253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 xml:space="preserve">2. De comum acordo escolhem como árbitro(s) o(s) senhor(es) ... (nome, profissão e domicílio). </w:t>
      </w:r>
    </w:p>
    <w:p w14:paraId="223A9F0C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3DF4617B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3. Ajustam que a matéria objeto da arbitragem será ... (descrever aqui o objeto da arbitragem, ou seja, o litígio existente entre as partes).</w:t>
      </w:r>
    </w:p>
    <w:p w14:paraId="634C8885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0A1E322F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pacing w:val="-2"/>
          <w:sz w:val="24"/>
          <w:szCs w:val="24"/>
        </w:rPr>
        <w:t>4. A sentença arbitral (art. 23 da Lei n. 9.307, de 23.09.96)</w:t>
      </w:r>
      <w:r w:rsidRPr="00373B4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footnoteReference w:id="4"/>
      </w:r>
      <w:r w:rsidRPr="00373B4E">
        <w:rPr>
          <w:rFonts w:ascii="Times New Roman" w:hAnsi="Times New Roman" w:cs="Times New Roman"/>
          <w:spacing w:val="-2"/>
          <w:sz w:val="24"/>
          <w:szCs w:val="24"/>
        </w:rPr>
        <w:t>, será proferida em ... (indicar o local).</w:t>
      </w:r>
    </w:p>
    <w:p w14:paraId="4377DCB6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685B0F53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5. A arbitragem será realizada em ... (local ou locais).</w:t>
      </w:r>
    </w:p>
    <w:p w14:paraId="0867E1DC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14506E52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6. De comum acordo, estabelecem as partes, autorizar(em) o(s) árbitro(s) a julgar(em) por equidade (se assim for convencionado pelas partes na forma do art. 2º).</w:t>
      </w:r>
    </w:p>
    <w:p w14:paraId="6CA4F882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0FDE8053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7. A sentença arbitral terá de ser apresentada até o dia ... na forma do art. 23 da Lei n. 9.307, de 23.09.96, sob pena de extinção do compromisso arbitral, com observância do art. 12, III do dispositivo citado.</w:t>
      </w:r>
    </w:p>
    <w:p w14:paraId="65EDB59C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6B5D0A1F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8. Indicam as partes os seguintes dispositivos ou regras corporativas aplicáveis à arbitragem, que poderão ser utilizadas na arbitragem.</w:t>
      </w:r>
    </w:p>
    <w:p w14:paraId="6B5A290A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7CE5667B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9. Estabelecem as partes que os honorários do(s) árbitro(s) bem como as despesas com a arbitragem e eventuais honorários de perito, serão pagas da seguinte forma ...</w:t>
      </w:r>
    </w:p>
    <w:p w14:paraId="079974A6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ab/>
      </w:r>
      <w:r w:rsidRPr="00373B4E">
        <w:rPr>
          <w:rFonts w:ascii="Times New Roman" w:hAnsi="Times New Roman" w:cs="Times New Roman"/>
          <w:sz w:val="24"/>
          <w:szCs w:val="24"/>
        </w:rPr>
        <w:tab/>
      </w:r>
    </w:p>
    <w:p w14:paraId="251CB070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Assim, por estarem justas e contratadas, firmam o presente compromisso, na presença de duas testemunhas a tudo presente, para que este surta seus efeitos legais e de direito.</w:t>
      </w:r>
    </w:p>
    <w:p w14:paraId="58A99200" w14:textId="77777777" w:rsidR="00373B4E" w:rsidRPr="00373B4E" w:rsidRDefault="00373B4E" w:rsidP="009636B5">
      <w:pPr>
        <w:pStyle w:val="Centralizado"/>
        <w:ind w:right="-568"/>
        <w:rPr>
          <w:rFonts w:ascii="Times New Roman" w:hAnsi="Times New Roman" w:cs="Times New Roman"/>
          <w:sz w:val="24"/>
          <w:szCs w:val="24"/>
        </w:rPr>
      </w:pPr>
    </w:p>
    <w:p w14:paraId="7C52F79E" w14:textId="77777777" w:rsidR="00373B4E" w:rsidRPr="00373B4E" w:rsidRDefault="00373B4E" w:rsidP="009636B5">
      <w:pPr>
        <w:pStyle w:val="Centralizad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(Local e data)</w:t>
      </w:r>
    </w:p>
    <w:p w14:paraId="15F25EA3" w14:textId="77777777" w:rsidR="00373B4E" w:rsidRPr="00373B4E" w:rsidRDefault="00373B4E" w:rsidP="009636B5">
      <w:pPr>
        <w:pStyle w:val="Centralizad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(Assinatura das partes ou de quem as represente)</w:t>
      </w:r>
    </w:p>
    <w:p w14:paraId="0E255EF9" w14:textId="77777777" w:rsidR="00373B4E" w:rsidRPr="00373B4E" w:rsidRDefault="00373B4E" w:rsidP="009636B5">
      <w:pPr>
        <w:pStyle w:val="Centralizad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Testemunhas:</w:t>
      </w:r>
    </w:p>
    <w:p w14:paraId="4AB91C12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3A76BF6C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89A66C0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Nome:</w:t>
      </w:r>
    </w:p>
    <w:p w14:paraId="5664CFC1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CPF:</w:t>
      </w:r>
    </w:p>
    <w:p w14:paraId="748310A0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</w:p>
    <w:p w14:paraId="6321D172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236CDE0E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Nome:</w:t>
      </w:r>
    </w:p>
    <w:p w14:paraId="228F782F" w14:textId="77777777" w:rsidR="00373B4E" w:rsidRPr="00373B4E" w:rsidRDefault="00373B4E" w:rsidP="009636B5">
      <w:pPr>
        <w:pStyle w:val="Texto"/>
        <w:ind w:right="-568"/>
        <w:rPr>
          <w:rFonts w:ascii="Times New Roman" w:hAnsi="Times New Roman" w:cs="Times New Roman"/>
          <w:sz w:val="24"/>
          <w:szCs w:val="24"/>
        </w:rPr>
      </w:pPr>
      <w:r w:rsidRPr="00373B4E">
        <w:rPr>
          <w:rFonts w:ascii="Times New Roman" w:hAnsi="Times New Roman" w:cs="Times New Roman"/>
          <w:sz w:val="24"/>
          <w:szCs w:val="24"/>
        </w:rPr>
        <w:t>CPF:</w:t>
      </w:r>
    </w:p>
    <w:p w14:paraId="75026648" w14:textId="77777777" w:rsidR="00791835" w:rsidRPr="00373B4E" w:rsidRDefault="00791835" w:rsidP="009636B5">
      <w:pPr>
        <w:ind w:right="-568"/>
        <w:rPr>
          <w:rFonts w:ascii="Times New Roman" w:hAnsi="Times New Roman" w:cs="Times New Roman"/>
          <w:sz w:val="24"/>
          <w:szCs w:val="24"/>
        </w:rPr>
      </w:pPr>
    </w:p>
    <w:sectPr w:rsidR="00791835" w:rsidRPr="00373B4E" w:rsidSect="00714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EB97" w14:textId="77777777" w:rsidR="00B01DF0" w:rsidRDefault="00B01DF0" w:rsidP="00373B4E">
      <w:pPr>
        <w:spacing w:after="0" w:line="240" w:lineRule="auto"/>
      </w:pPr>
      <w:r>
        <w:separator/>
      </w:r>
    </w:p>
  </w:endnote>
  <w:endnote w:type="continuationSeparator" w:id="0">
    <w:p w14:paraId="011DD91D" w14:textId="77777777" w:rsidR="00B01DF0" w:rsidRDefault="00B01DF0" w:rsidP="0037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399FE" w14:textId="77777777" w:rsidR="00B01DF0" w:rsidRDefault="00B01DF0" w:rsidP="00373B4E">
      <w:pPr>
        <w:spacing w:after="0" w:line="240" w:lineRule="auto"/>
      </w:pPr>
      <w:r>
        <w:separator/>
      </w:r>
    </w:p>
  </w:footnote>
  <w:footnote w:type="continuationSeparator" w:id="0">
    <w:p w14:paraId="6AB36F67" w14:textId="77777777" w:rsidR="00B01DF0" w:rsidRDefault="00B01DF0" w:rsidP="00373B4E">
      <w:pPr>
        <w:spacing w:after="0" w:line="240" w:lineRule="auto"/>
      </w:pPr>
      <w:r>
        <w:continuationSeparator/>
      </w:r>
    </w:p>
  </w:footnote>
  <w:footnote w:id="1">
    <w:p w14:paraId="34A751F5" w14:textId="77777777" w:rsidR="00373B4E" w:rsidRPr="00373B4E" w:rsidRDefault="00373B4E" w:rsidP="009636B5">
      <w:pPr>
        <w:pStyle w:val="Rodap"/>
        <w:tabs>
          <w:tab w:val="clear" w:pos="8504"/>
          <w:tab w:val="right" w:pos="9356"/>
        </w:tabs>
        <w:ind w:right="-567"/>
        <w:jc w:val="both"/>
        <w:rPr>
          <w:sz w:val="20"/>
          <w:szCs w:val="20"/>
        </w:rPr>
      </w:pPr>
      <w:r w:rsidRPr="00373B4E">
        <w:rPr>
          <w:sz w:val="20"/>
          <w:szCs w:val="20"/>
          <w:vertAlign w:val="superscript"/>
        </w:rPr>
        <w:footnoteRef/>
      </w:r>
      <w:r w:rsidRPr="00373B4E">
        <w:rPr>
          <w:b/>
          <w:bCs/>
          <w:sz w:val="20"/>
          <w:szCs w:val="20"/>
        </w:rPr>
        <w:tab/>
        <w:t>Art. 10.</w:t>
      </w:r>
      <w:r w:rsidRPr="00373B4E">
        <w:rPr>
          <w:sz w:val="20"/>
          <w:szCs w:val="20"/>
        </w:rPr>
        <w:t xml:space="preserve"> Constará, obrigatoriamente, do compromisso arbitral: </w:t>
      </w:r>
      <w:r w:rsidRPr="00373B4E">
        <w:rPr>
          <w:rStyle w:val="Forte"/>
          <w:sz w:val="20"/>
          <w:szCs w:val="20"/>
        </w:rPr>
        <w:t>I</w:t>
      </w:r>
      <w:r w:rsidRPr="00373B4E">
        <w:rPr>
          <w:sz w:val="20"/>
          <w:szCs w:val="20"/>
        </w:rPr>
        <w:t xml:space="preserve"> – o nome, profissão, estado civil e domicílio das partes; </w:t>
      </w:r>
      <w:r w:rsidRPr="00373B4E">
        <w:rPr>
          <w:rStyle w:val="Forte"/>
          <w:sz w:val="20"/>
          <w:szCs w:val="20"/>
        </w:rPr>
        <w:t>II</w:t>
      </w:r>
      <w:r w:rsidRPr="00373B4E">
        <w:rPr>
          <w:sz w:val="20"/>
          <w:szCs w:val="20"/>
        </w:rPr>
        <w:t xml:space="preserve"> – o nome, profissão e domicílio do árbitro, ou dos árbitros, ou, se for o caso, a identificação da entidade à qual as partes delegarem a indicação de árbitros; </w:t>
      </w:r>
      <w:r w:rsidRPr="00373B4E">
        <w:rPr>
          <w:rStyle w:val="Forte"/>
          <w:sz w:val="20"/>
          <w:szCs w:val="20"/>
        </w:rPr>
        <w:t>III</w:t>
      </w:r>
      <w:r w:rsidRPr="00373B4E">
        <w:rPr>
          <w:sz w:val="20"/>
          <w:szCs w:val="20"/>
        </w:rPr>
        <w:t xml:space="preserve"> – a matéria que será objeto da arbitragem; e </w:t>
      </w:r>
      <w:r w:rsidRPr="00373B4E">
        <w:rPr>
          <w:rStyle w:val="Forte"/>
          <w:sz w:val="20"/>
          <w:szCs w:val="20"/>
        </w:rPr>
        <w:t>IV</w:t>
      </w:r>
      <w:r w:rsidRPr="00373B4E">
        <w:rPr>
          <w:sz w:val="20"/>
          <w:szCs w:val="20"/>
        </w:rPr>
        <w:t xml:space="preserve"> – o lugar em que será proferida a sentença arbitral.</w:t>
      </w:r>
    </w:p>
    <w:p w14:paraId="11FFF707" w14:textId="77777777" w:rsidR="00373B4E" w:rsidRPr="00373B4E" w:rsidRDefault="00373B4E" w:rsidP="009636B5">
      <w:pPr>
        <w:pStyle w:val="Rodap"/>
        <w:tabs>
          <w:tab w:val="clear" w:pos="8504"/>
          <w:tab w:val="right" w:pos="9356"/>
        </w:tabs>
        <w:ind w:right="-567"/>
        <w:jc w:val="both"/>
        <w:rPr>
          <w:sz w:val="20"/>
          <w:szCs w:val="20"/>
        </w:rPr>
      </w:pPr>
      <w:r w:rsidRPr="00373B4E">
        <w:rPr>
          <w:b/>
          <w:bCs/>
          <w:sz w:val="20"/>
          <w:szCs w:val="20"/>
        </w:rPr>
        <w:tab/>
      </w:r>
      <w:r w:rsidRPr="00373B4E">
        <w:rPr>
          <w:b/>
          <w:bCs/>
          <w:spacing w:val="-2"/>
          <w:sz w:val="20"/>
          <w:szCs w:val="20"/>
        </w:rPr>
        <w:t>Art. 11</w:t>
      </w:r>
      <w:r w:rsidRPr="00373B4E">
        <w:rPr>
          <w:spacing w:val="-2"/>
          <w:sz w:val="20"/>
          <w:szCs w:val="20"/>
        </w:rPr>
        <w:t xml:space="preserve">. Poderá, ainda, o compromisso arbitral conter: </w:t>
      </w:r>
      <w:r w:rsidRPr="00373B4E">
        <w:rPr>
          <w:rStyle w:val="Forte"/>
          <w:spacing w:val="-2"/>
          <w:sz w:val="20"/>
          <w:szCs w:val="20"/>
        </w:rPr>
        <w:t>I</w:t>
      </w:r>
      <w:r w:rsidRPr="00373B4E">
        <w:rPr>
          <w:spacing w:val="-2"/>
          <w:sz w:val="20"/>
          <w:szCs w:val="20"/>
        </w:rPr>
        <w:t xml:space="preserve"> – local, ou locais, onde se desenvolverá a arbitragem; </w:t>
      </w:r>
      <w:r w:rsidRPr="00373B4E">
        <w:rPr>
          <w:rStyle w:val="Forte"/>
          <w:spacing w:val="-2"/>
          <w:sz w:val="20"/>
          <w:szCs w:val="20"/>
        </w:rPr>
        <w:t>II</w:t>
      </w:r>
      <w:r w:rsidRPr="00373B4E">
        <w:rPr>
          <w:spacing w:val="-2"/>
          <w:sz w:val="20"/>
          <w:szCs w:val="20"/>
        </w:rPr>
        <w:t xml:space="preserve"> – a </w:t>
      </w:r>
      <w:r w:rsidRPr="00373B4E">
        <w:rPr>
          <w:sz w:val="20"/>
          <w:szCs w:val="20"/>
        </w:rPr>
        <w:t xml:space="preserve">autorização para que o árbitro ou os árbitros julguem por eqüidade, se assim for convencionado pelas partes; </w:t>
      </w:r>
      <w:r w:rsidRPr="00373B4E">
        <w:rPr>
          <w:rStyle w:val="Forte"/>
          <w:sz w:val="20"/>
          <w:szCs w:val="20"/>
        </w:rPr>
        <w:t>III</w:t>
      </w:r>
      <w:r w:rsidRPr="00373B4E">
        <w:rPr>
          <w:sz w:val="20"/>
          <w:szCs w:val="20"/>
        </w:rPr>
        <w:t xml:space="preserve"> – o prazo para apresentação da sentença arbitral; </w:t>
      </w:r>
      <w:r w:rsidRPr="00373B4E">
        <w:rPr>
          <w:rStyle w:val="Forte"/>
          <w:sz w:val="20"/>
          <w:szCs w:val="20"/>
        </w:rPr>
        <w:t>IV</w:t>
      </w:r>
      <w:r w:rsidRPr="00373B4E">
        <w:rPr>
          <w:sz w:val="20"/>
          <w:szCs w:val="20"/>
        </w:rPr>
        <w:t xml:space="preserve"> – a indicação da lei nacional ou das regras corporativas aplicáveis à arbitragern, quando assim convencionarem as partes; </w:t>
      </w:r>
      <w:r w:rsidRPr="00373B4E">
        <w:rPr>
          <w:rStyle w:val="Forte"/>
          <w:sz w:val="20"/>
          <w:szCs w:val="20"/>
        </w:rPr>
        <w:t>V</w:t>
      </w:r>
      <w:r w:rsidRPr="00373B4E">
        <w:rPr>
          <w:sz w:val="20"/>
          <w:szCs w:val="20"/>
        </w:rPr>
        <w:t xml:space="preserve"> – a declaração da responsabilidade pelo pagamento dos honorários e das despesas com a arbitragem; e </w:t>
      </w:r>
      <w:r w:rsidRPr="00373B4E">
        <w:rPr>
          <w:rStyle w:val="Forte"/>
          <w:sz w:val="20"/>
          <w:szCs w:val="20"/>
        </w:rPr>
        <w:t>VI</w:t>
      </w:r>
      <w:r w:rsidRPr="00373B4E">
        <w:rPr>
          <w:sz w:val="20"/>
          <w:szCs w:val="20"/>
        </w:rPr>
        <w:t xml:space="preserve"> – a fixação dos honorários do árbitro, ou dos árbitros. Parágrafo único – Fixando as partes os honorários do árbitro, ou dos árbitros, no compromisso arbitral, este constituirá título executivo extrajudicial; não havendo tal estipulação, o árbitro requererá ao órgão do Poder Judiciário que seria competente para julgar, originariamente, a causa que os fixe por sentença.</w:t>
      </w:r>
    </w:p>
  </w:footnote>
  <w:footnote w:id="2">
    <w:p w14:paraId="23B484E9" w14:textId="77777777" w:rsidR="00373B4E" w:rsidRPr="00373B4E" w:rsidRDefault="00373B4E" w:rsidP="009636B5">
      <w:pPr>
        <w:pStyle w:val="Rodap"/>
        <w:tabs>
          <w:tab w:val="clear" w:pos="8504"/>
          <w:tab w:val="right" w:pos="9356"/>
        </w:tabs>
        <w:ind w:right="-567"/>
        <w:jc w:val="both"/>
        <w:rPr>
          <w:sz w:val="20"/>
          <w:szCs w:val="20"/>
        </w:rPr>
      </w:pPr>
      <w:r w:rsidRPr="00373B4E">
        <w:rPr>
          <w:sz w:val="20"/>
          <w:szCs w:val="20"/>
          <w:vertAlign w:val="superscript"/>
        </w:rPr>
        <w:footnoteRef/>
      </w:r>
      <w:r w:rsidRPr="00373B4E">
        <w:rPr>
          <w:sz w:val="20"/>
          <w:szCs w:val="20"/>
        </w:rPr>
        <w:tab/>
      </w:r>
      <w:r w:rsidRPr="00373B4E">
        <w:rPr>
          <w:b/>
          <w:bCs/>
          <w:sz w:val="20"/>
          <w:szCs w:val="20"/>
        </w:rPr>
        <w:t>Art. 10.</w:t>
      </w:r>
      <w:r w:rsidRPr="00373B4E">
        <w:rPr>
          <w:sz w:val="20"/>
          <w:szCs w:val="20"/>
        </w:rPr>
        <w:t xml:space="preserve"> Constará, obrigatoriamente, do compromisso arbitral: </w:t>
      </w:r>
      <w:r w:rsidRPr="00373B4E">
        <w:rPr>
          <w:rStyle w:val="Forte"/>
          <w:sz w:val="20"/>
          <w:szCs w:val="20"/>
        </w:rPr>
        <w:t>II</w:t>
      </w:r>
      <w:r w:rsidRPr="00373B4E">
        <w:rPr>
          <w:sz w:val="20"/>
          <w:szCs w:val="20"/>
        </w:rPr>
        <w:t xml:space="preserve"> – o nome, profissão e domicílio do árbitro, </w:t>
      </w:r>
      <w:r w:rsidRPr="00373B4E">
        <w:rPr>
          <w:spacing w:val="-2"/>
          <w:sz w:val="20"/>
          <w:szCs w:val="20"/>
        </w:rPr>
        <w:t>ou dos árbitros, ou, se for o caso, a identificação da entidade à qual as partes delegarem a indicação de árbitros; (...).</w:t>
      </w:r>
    </w:p>
  </w:footnote>
  <w:footnote w:id="3">
    <w:p w14:paraId="5F5BAF6A" w14:textId="77777777" w:rsidR="00373B4E" w:rsidRPr="00373B4E" w:rsidRDefault="00373B4E" w:rsidP="009636B5">
      <w:pPr>
        <w:pStyle w:val="Rodap"/>
        <w:tabs>
          <w:tab w:val="clear" w:pos="8504"/>
          <w:tab w:val="right" w:pos="9356"/>
        </w:tabs>
        <w:ind w:right="-567"/>
        <w:jc w:val="both"/>
        <w:rPr>
          <w:sz w:val="20"/>
          <w:szCs w:val="20"/>
        </w:rPr>
      </w:pPr>
      <w:r w:rsidRPr="00373B4E">
        <w:rPr>
          <w:sz w:val="20"/>
          <w:szCs w:val="20"/>
          <w:vertAlign w:val="superscript"/>
        </w:rPr>
        <w:footnoteRef/>
      </w:r>
      <w:r w:rsidRPr="00373B4E">
        <w:rPr>
          <w:sz w:val="20"/>
          <w:szCs w:val="20"/>
        </w:rPr>
        <w:tab/>
      </w:r>
      <w:r w:rsidRPr="00373B4E">
        <w:rPr>
          <w:b/>
          <w:bCs/>
          <w:sz w:val="20"/>
          <w:szCs w:val="20"/>
        </w:rPr>
        <w:t>Art. 9º</w:t>
      </w:r>
      <w:r w:rsidRPr="00373B4E">
        <w:rPr>
          <w:sz w:val="20"/>
          <w:szCs w:val="20"/>
        </w:rPr>
        <w:t xml:space="preserve"> O compromisso arbitral é a convenção através da qual as partes submetem um litígio à arbitragem de uma ou mais pessoas, podendo ser judicial ou extrajudicial. </w:t>
      </w:r>
      <w:r w:rsidRPr="00373B4E">
        <w:rPr>
          <w:b/>
          <w:sz w:val="20"/>
          <w:szCs w:val="20"/>
        </w:rPr>
        <w:t>§ 1º</w:t>
      </w:r>
      <w:r w:rsidRPr="00373B4E">
        <w:rPr>
          <w:sz w:val="20"/>
          <w:szCs w:val="20"/>
        </w:rPr>
        <w:t xml:space="preserve"> – O compromisso arbitral judicial celebrar-se-á por termo nos autos, perante o juízo ou tribunal, onde tem curso a demanda. </w:t>
      </w:r>
      <w:r w:rsidRPr="00373B4E">
        <w:rPr>
          <w:b/>
          <w:sz w:val="20"/>
          <w:szCs w:val="20"/>
        </w:rPr>
        <w:t>§ 2º</w:t>
      </w:r>
      <w:r w:rsidRPr="00373B4E">
        <w:rPr>
          <w:sz w:val="20"/>
          <w:szCs w:val="20"/>
        </w:rPr>
        <w:t xml:space="preserve"> – O compromisso arbitral extrajudicial será celebrado por escrito particular, assinado por duas testemunhas, ou por instrumento público. (...)</w:t>
      </w:r>
    </w:p>
  </w:footnote>
  <w:footnote w:id="4">
    <w:p w14:paraId="5B656E5E" w14:textId="77777777" w:rsidR="00373B4E" w:rsidRPr="00373B4E" w:rsidRDefault="00373B4E" w:rsidP="009636B5">
      <w:pPr>
        <w:pStyle w:val="Rodap"/>
        <w:tabs>
          <w:tab w:val="clear" w:pos="8504"/>
          <w:tab w:val="right" w:pos="9356"/>
        </w:tabs>
        <w:ind w:right="-567"/>
        <w:jc w:val="both"/>
        <w:rPr>
          <w:spacing w:val="-2"/>
          <w:sz w:val="20"/>
          <w:szCs w:val="20"/>
        </w:rPr>
      </w:pPr>
      <w:r w:rsidRPr="00373B4E">
        <w:rPr>
          <w:sz w:val="20"/>
          <w:szCs w:val="20"/>
          <w:vertAlign w:val="superscript"/>
        </w:rPr>
        <w:footnoteRef/>
      </w:r>
      <w:r w:rsidRPr="00373B4E">
        <w:rPr>
          <w:sz w:val="20"/>
          <w:szCs w:val="20"/>
        </w:rPr>
        <w:tab/>
      </w:r>
      <w:r w:rsidRPr="00373B4E">
        <w:rPr>
          <w:b/>
          <w:bCs/>
          <w:sz w:val="20"/>
          <w:szCs w:val="20"/>
        </w:rPr>
        <w:t xml:space="preserve">Art. 23. </w:t>
      </w:r>
      <w:r w:rsidRPr="00373B4E">
        <w:rPr>
          <w:sz w:val="20"/>
          <w:szCs w:val="20"/>
        </w:rPr>
        <w:t xml:space="preserve">A sentença arbitral será proferida no prazo estipulado pelas partes. Nada tendo sido convencionado, o prazo para a apresentação da sentença é de seis meses, contado da instituição da arbitragem ou da substituição </w:t>
      </w:r>
      <w:r w:rsidRPr="00373B4E">
        <w:rPr>
          <w:spacing w:val="-2"/>
          <w:sz w:val="20"/>
          <w:szCs w:val="20"/>
        </w:rPr>
        <w:t xml:space="preserve">do árbitro. </w:t>
      </w:r>
      <w:r w:rsidRPr="00373B4E">
        <w:rPr>
          <w:b/>
          <w:spacing w:val="-2"/>
          <w:sz w:val="20"/>
          <w:szCs w:val="20"/>
        </w:rPr>
        <w:t>Parágrafo único</w:t>
      </w:r>
      <w:r w:rsidRPr="00373B4E">
        <w:rPr>
          <w:spacing w:val="-2"/>
          <w:sz w:val="20"/>
          <w:szCs w:val="20"/>
        </w:rPr>
        <w:t xml:space="preserve"> – As partes e os árbitros, de comum acordo, poderão prorrogar o prazo estipulado.</w:t>
      </w:r>
    </w:p>
    <w:p w14:paraId="5D47E576" w14:textId="77777777" w:rsidR="00373B4E" w:rsidRPr="00373B4E" w:rsidRDefault="00373B4E" w:rsidP="009636B5">
      <w:pPr>
        <w:pStyle w:val="Rodap"/>
        <w:tabs>
          <w:tab w:val="clear" w:pos="8504"/>
          <w:tab w:val="right" w:pos="9356"/>
        </w:tabs>
        <w:ind w:right="-567"/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B4E"/>
    <w:rsid w:val="00046BD0"/>
    <w:rsid w:val="00141643"/>
    <w:rsid w:val="00242409"/>
    <w:rsid w:val="00373B4E"/>
    <w:rsid w:val="003D50A9"/>
    <w:rsid w:val="0042099A"/>
    <w:rsid w:val="00563291"/>
    <w:rsid w:val="005C77B9"/>
    <w:rsid w:val="0060329F"/>
    <w:rsid w:val="00705189"/>
    <w:rsid w:val="00706785"/>
    <w:rsid w:val="00714A7A"/>
    <w:rsid w:val="00791835"/>
    <w:rsid w:val="009636B5"/>
    <w:rsid w:val="00B01DF0"/>
    <w:rsid w:val="00D86E5D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020"/>
  <w15:docId w15:val="{7AFFE891-E0A5-4556-B4CD-A8E079D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73B4E"/>
    <w:pPr>
      <w:autoSpaceDE w:val="0"/>
      <w:autoSpaceDN w:val="0"/>
      <w:adjustRightInd w:val="0"/>
      <w:spacing w:before="113" w:after="170" w:line="300" w:lineRule="atLeast"/>
      <w:jc w:val="center"/>
      <w:textAlignment w:val="center"/>
    </w:pPr>
    <w:rPr>
      <w:rFonts w:ascii="Garamond" w:eastAsia="Times New Roman" w:hAnsi="Garamond" w:cs="Garamond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373B4E"/>
    <w:rPr>
      <w:rFonts w:ascii="Garamond" w:eastAsia="Times New Roman" w:hAnsi="Garamond" w:cs="Garamond"/>
      <w:b/>
      <w:bCs/>
      <w:color w:val="000000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373B4E"/>
    <w:rPr>
      <w:rFonts w:cs="Times New Roman"/>
      <w:b/>
      <w:bCs/>
      <w:w w:val="100"/>
    </w:rPr>
  </w:style>
  <w:style w:type="paragraph" w:styleId="Rodap">
    <w:name w:val="footer"/>
    <w:basedOn w:val="Normal"/>
    <w:link w:val="RodapChar"/>
    <w:uiPriority w:val="99"/>
    <w:rsid w:val="00373B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7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373B4E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Garamond" w:eastAsia="Times New Roman" w:hAnsi="Garamond" w:cs="Garamond"/>
      <w:color w:val="000000"/>
      <w:sz w:val="21"/>
      <w:szCs w:val="21"/>
    </w:rPr>
  </w:style>
  <w:style w:type="paragraph" w:customStyle="1" w:styleId="Comentrios">
    <w:name w:val="Comentários"/>
    <w:basedOn w:val="Normal"/>
    <w:rsid w:val="00373B4E"/>
    <w:pPr>
      <w:autoSpaceDE w:val="0"/>
      <w:autoSpaceDN w:val="0"/>
      <w:adjustRightInd w:val="0"/>
      <w:spacing w:after="0" w:line="240" w:lineRule="atLeast"/>
      <w:ind w:left="227"/>
      <w:jc w:val="both"/>
      <w:textAlignment w:val="center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Centralizado">
    <w:name w:val="Centralizado"/>
    <w:basedOn w:val="Normal"/>
    <w:rsid w:val="00373B4E"/>
    <w:pPr>
      <w:suppressAutoHyphens/>
      <w:autoSpaceDE w:val="0"/>
      <w:autoSpaceDN w:val="0"/>
      <w:adjustRightInd w:val="0"/>
      <w:spacing w:after="0" w:line="250" w:lineRule="atLeast"/>
      <w:jc w:val="center"/>
      <w:textAlignment w:val="center"/>
    </w:pPr>
    <w:rPr>
      <w:rFonts w:ascii="Garamond" w:eastAsia="Times New Roman" w:hAnsi="Garamond" w:cs="Garamon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Matheus Xavier</cp:lastModifiedBy>
  <cp:revision>4</cp:revision>
  <dcterms:created xsi:type="dcterms:W3CDTF">2020-07-09T18:41:00Z</dcterms:created>
  <dcterms:modified xsi:type="dcterms:W3CDTF">2020-08-28T00:47:00Z</dcterms:modified>
</cp:coreProperties>
</file>