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90BF14" w14:textId="77777777" w:rsidR="005203C4" w:rsidRPr="005203C4" w:rsidRDefault="005203C4" w:rsidP="000E06D4">
      <w:pPr>
        <w:pStyle w:val="Ttulo"/>
        <w:spacing w:before="0" w:after="0"/>
        <w:ind w:right="-567"/>
        <w:rPr>
          <w:rFonts w:ascii="Arial Black" w:hAnsi="Arial Black"/>
          <w:sz w:val="24"/>
          <w:szCs w:val="24"/>
        </w:rPr>
      </w:pPr>
      <w:r w:rsidRPr="005203C4">
        <w:rPr>
          <w:rFonts w:ascii="Arial Black" w:hAnsi="Arial Black"/>
          <w:sz w:val="24"/>
          <w:szCs w:val="24"/>
        </w:rPr>
        <w:t>MODELO DE PETIÇÃO</w:t>
      </w:r>
    </w:p>
    <w:p w14:paraId="58FF4505" w14:textId="44593AD8" w:rsidR="00EA2450" w:rsidRDefault="007D1FBC" w:rsidP="000E06D4">
      <w:pPr>
        <w:pStyle w:val="Ttulo"/>
        <w:spacing w:before="0" w:after="0"/>
        <w:ind w:right="-567"/>
        <w:rPr>
          <w:rFonts w:ascii="Arial Black" w:hAnsi="Arial Black"/>
          <w:sz w:val="24"/>
          <w:szCs w:val="24"/>
        </w:rPr>
      </w:pPr>
      <w:r>
        <w:rPr>
          <w:rFonts w:ascii="Arial Black" w:hAnsi="Arial Black"/>
          <w:b w:val="0"/>
          <w:sz w:val="24"/>
          <w:szCs w:val="24"/>
        </w:rPr>
        <w:t xml:space="preserve">PROCESSO CIVIL. </w:t>
      </w:r>
      <w:r w:rsidR="00EA2450" w:rsidRPr="005203C4">
        <w:rPr>
          <w:rFonts w:ascii="Arial Black" w:hAnsi="Arial Black"/>
          <w:sz w:val="24"/>
          <w:szCs w:val="24"/>
        </w:rPr>
        <w:t>REQUERIMENTO DE PROVA PERICIAL</w:t>
      </w:r>
    </w:p>
    <w:p w14:paraId="5407BA3D" w14:textId="77777777" w:rsidR="000E06D4" w:rsidRDefault="000E06D4" w:rsidP="000E06D4">
      <w:pPr>
        <w:pStyle w:val="Ttulo"/>
        <w:spacing w:before="0" w:after="0" w:line="240" w:lineRule="auto"/>
        <w:ind w:right="-568"/>
        <w:jc w:val="right"/>
        <w:rPr>
          <w:rStyle w:val="Forte"/>
          <w:rFonts w:ascii="Arial Black" w:hAnsi="Arial Black" w:cs="Arial"/>
          <w:sz w:val="24"/>
          <w:szCs w:val="24"/>
        </w:rPr>
      </w:pPr>
      <w:r>
        <w:rPr>
          <w:rStyle w:val="Forte"/>
          <w:rFonts w:ascii="Arial Black" w:hAnsi="Arial Black" w:cs="Arial"/>
          <w:sz w:val="24"/>
          <w:szCs w:val="24"/>
        </w:rPr>
        <w:t>Rénan Kfuri Lopes</w:t>
      </w:r>
    </w:p>
    <w:p w14:paraId="4780A5CE" w14:textId="77777777" w:rsidR="00EA2450" w:rsidRPr="00950040" w:rsidRDefault="00EA2450" w:rsidP="005203C4">
      <w:pPr>
        <w:pStyle w:val="Texto"/>
        <w:ind w:right="-568"/>
      </w:pPr>
    </w:p>
    <w:p w14:paraId="2D659C0A" w14:textId="77777777" w:rsidR="00D46060" w:rsidRPr="00EA2450" w:rsidRDefault="00EA2450" w:rsidP="005203C4">
      <w:pPr>
        <w:pStyle w:val="Texto"/>
        <w:ind w:right="-568"/>
        <w:rPr>
          <w:rFonts w:ascii="Times New Roman" w:hAnsi="Times New Roman" w:cs="Times New Roman"/>
          <w:sz w:val="24"/>
          <w:szCs w:val="24"/>
        </w:rPr>
      </w:pPr>
      <w:r w:rsidRPr="005203C4">
        <w:rPr>
          <w:rFonts w:ascii="Times New Roman" w:hAnsi="Times New Roman" w:cs="Times New Roman"/>
          <w:sz w:val="24"/>
          <w:szCs w:val="24"/>
          <w:u w:val="single"/>
        </w:rPr>
        <w:t>COMENTÁRIOS</w:t>
      </w:r>
      <w:r w:rsidR="005203C4">
        <w:rPr>
          <w:rFonts w:ascii="Times New Roman" w:hAnsi="Times New Roman" w:cs="Times New Roman"/>
          <w:sz w:val="24"/>
          <w:szCs w:val="24"/>
        </w:rPr>
        <w:t>:</w:t>
      </w:r>
    </w:p>
    <w:p w14:paraId="2E1FFB0F" w14:textId="77777777" w:rsidR="00EA2450" w:rsidRDefault="00EA2450" w:rsidP="005203C4">
      <w:pPr>
        <w:pStyle w:val="Comentrios"/>
        <w:ind w:left="0" w:right="-568"/>
        <w:rPr>
          <w:rFonts w:ascii="Times New Roman" w:hAnsi="Times New Roman" w:cs="Times New Roman"/>
          <w:sz w:val="24"/>
          <w:szCs w:val="24"/>
        </w:rPr>
      </w:pPr>
      <w:r w:rsidRPr="00EA2450">
        <w:rPr>
          <w:rFonts w:ascii="Times New Roman" w:hAnsi="Times New Roman" w:cs="Times New Roman"/>
          <w:sz w:val="24"/>
          <w:szCs w:val="24"/>
        </w:rPr>
        <w:t>- Necessário justificar o requerimento de depoimento pessoal da parte contrária.</w:t>
      </w:r>
    </w:p>
    <w:p w14:paraId="1BEF369C" w14:textId="77777777" w:rsidR="00D46060" w:rsidRPr="00EA2450" w:rsidRDefault="00D46060" w:rsidP="005203C4">
      <w:pPr>
        <w:pStyle w:val="Comentrios"/>
        <w:ind w:left="0" w:right="-568"/>
        <w:rPr>
          <w:rFonts w:ascii="Times New Roman" w:hAnsi="Times New Roman" w:cs="Times New Roman"/>
          <w:sz w:val="24"/>
          <w:szCs w:val="24"/>
        </w:rPr>
      </w:pPr>
    </w:p>
    <w:p w14:paraId="430EAF13" w14:textId="77777777" w:rsidR="00EA2450" w:rsidRPr="00EA2450" w:rsidRDefault="00EA2450" w:rsidP="005203C4">
      <w:pPr>
        <w:pStyle w:val="Comentrios"/>
        <w:ind w:left="0" w:right="-568"/>
        <w:rPr>
          <w:rFonts w:ascii="Times New Roman" w:hAnsi="Times New Roman" w:cs="Times New Roman"/>
          <w:sz w:val="24"/>
          <w:szCs w:val="24"/>
        </w:rPr>
      </w:pPr>
      <w:r w:rsidRPr="00EA2450">
        <w:rPr>
          <w:rFonts w:ascii="Times New Roman" w:hAnsi="Times New Roman" w:cs="Times New Roman"/>
          <w:sz w:val="24"/>
          <w:szCs w:val="24"/>
        </w:rPr>
        <w:t>- As partes podem apresentar quesitos e indicar assistentes técnicos após nomeado o perito pelo árbitro.</w:t>
      </w:r>
    </w:p>
    <w:p w14:paraId="255F52C8" w14:textId="77777777" w:rsidR="00EA2450" w:rsidRPr="00EA2450" w:rsidRDefault="00EA2450" w:rsidP="005203C4">
      <w:pPr>
        <w:pStyle w:val="Texto"/>
        <w:ind w:right="-568"/>
        <w:rPr>
          <w:rFonts w:ascii="Times New Roman" w:hAnsi="Times New Roman" w:cs="Times New Roman"/>
          <w:sz w:val="24"/>
          <w:szCs w:val="24"/>
        </w:rPr>
      </w:pPr>
    </w:p>
    <w:p w14:paraId="54F78531" w14:textId="77777777" w:rsidR="00EA2450" w:rsidRPr="00EA2450" w:rsidRDefault="00EA2450" w:rsidP="005203C4">
      <w:pPr>
        <w:pStyle w:val="Texto"/>
        <w:ind w:right="-568"/>
        <w:rPr>
          <w:rFonts w:ascii="Times New Roman" w:hAnsi="Times New Roman" w:cs="Times New Roman"/>
          <w:sz w:val="24"/>
          <w:szCs w:val="24"/>
        </w:rPr>
      </w:pPr>
      <w:r w:rsidRPr="00EA2450">
        <w:rPr>
          <w:rFonts w:ascii="Times New Roman" w:hAnsi="Times New Roman" w:cs="Times New Roman"/>
          <w:sz w:val="24"/>
          <w:szCs w:val="24"/>
        </w:rPr>
        <w:t>Exmo. Sr. ... DD. Árbitro.</w:t>
      </w:r>
    </w:p>
    <w:p w14:paraId="36BD8E08" w14:textId="77777777" w:rsidR="00EA2450" w:rsidRPr="00EA2450" w:rsidRDefault="00EA2450" w:rsidP="005203C4">
      <w:pPr>
        <w:pStyle w:val="Texto"/>
        <w:ind w:right="-568"/>
        <w:rPr>
          <w:rFonts w:ascii="Times New Roman" w:hAnsi="Times New Roman" w:cs="Times New Roman"/>
          <w:sz w:val="24"/>
          <w:szCs w:val="24"/>
        </w:rPr>
      </w:pPr>
    </w:p>
    <w:p w14:paraId="20FE8B98" w14:textId="77777777" w:rsidR="00EA2450" w:rsidRPr="00EA2450" w:rsidRDefault="00EA2450" w:rsidP="005203C4">
      <w:pPr>
        <w:pStyle w:val="Texto"/>
        <w:ind w:right="-568"/>
        <w:rPr>
          <w:rFonts w:ascii="Times New Roman" w:hAnsi="Times New Roman" w:cs="Times New Roman"/>
          <w:sz w:val="24"/>
          <w:szCs w:val="24"/>
        </w:rPr>
      </w:pPr>
      <w:r w:rsidRPr="00EA2450">
        <w:rPr>
          <w:rFonts w:ascii="Times New Roman" w:hAnsi="Times New Roman" w:cs="Times New Roman"/>
          <w:sz w:val="24"/>
          <w:szCs w:val="24"/>
        </w:rPr>
        <w:t>Arbitragem n. ...</w:t>
      </w:r>
    </w:p>
    <w:p w14:paraId="603E1305" w14:textId="77777777" w:rsidR="00EA2450" w:rsidRPr="00EA2450" w:rsidRDefault="00EA2450" w:rsidP="005203C4">
      <w:pPr>
        <w:pStyle w:val="Texto"/>
        <w:ind w:right="-568"/>
        <w:rPr>
          <w:rFonts w:ascii="Times New Roman" w:hAnsi="Times New Roman" w:cs="Times New Roman"/>
          <w:sz w:val="24"/>
          <w:szCs w:val="24"/>
        </w:rPr>
      </w:pPr>
    </w:p>
    <w:p w14:paraId="486C87A0" w14:textId="77777777" w:rsidR="00EA2450" w:rsidRPr="00EA2450" w:rsidRDefault="00EA2450" w:rsidP="005203C4">
      <w:pPr>
        <w:pStyle w:val="Texto"/>
        <w:ind w:right="-568"/>
        <w:rPr>
          <w:rFonts w:ascii="Times New Roman" w:hAnsi="Times New Roman" w:cs="Times New Roman"/>
          <w:sz w:val="24"/>
          <w:szCs w:val="24"/>
        </w:rPr>
      </w:pPr>
      <w:r w:rsidRPr="00EA2450">
        <w:rPr>
          <w:rFonts w:ascii="Times New Roman" w:hAnsi="Times New Roman" w:cs="Times New Roman"/>
          <w:sz w:val="24"/>
          <w:szCs w:val="24"/>
        </w:rPr>
        <w:t xml:space="preserve">(nome da parte), ao final assinado, nos autos epigrafados, diante da natureza da matéria debatida, que exige conhecimentos técnicos da área de ...para auxiliar uma justa arbitragem, com fulcro no art. 22 </w:t>
      </w:r>
      <w:r w:rsidRPr="00EA2450">
        <w:rPr>
          <w:rFonts w:ascii="Times New Roman" w:hAnsi="Times New Roman" w:cs="Times New Roman"/>
          <w:i/>
          <w:iCs/>
          <w:sz w:val="24"/>
          <w:szCs w:val="24"/>
        </w:rPr>
        <w:t>caput</w:t>
      </w:r>
      <w:r w:rsidRPr="00EA2450">
        <w:rPr>
          <w:rFonts w:ascii="Times New Roman" w:hAnsi="Times New Roman" w:cs="Times New Roman"/>
          <w:sz w:val="24"/>
          <w:szCs w:val="24"/>
        </w:rPr>
        <w:t xml:space="preserve"> da Lei n. 9.307, de 23.09.96</w:t>
      </w:r>
      <w:r w:rsidRPr="00EA2450">
        <w:rPr>
          <w:rFonts w:ascii="Times New Roman" w:hAnsi="Times New Roman" w:cs="Times New Roman"/>
          <w:sz w:val="24"/>
          <w:szCs w:val="24"/>
          <w:vertAlign w:val="superscript"/>
        </w:rPr>
        <w:footnoteReference w:id="1"/>
      </w:r>
      <w:r w:rsidRPr="00EA2450">
        <w:rPr>
          <w:rFonts w:ascii="Times New Roman" w:hAnsi="Times New Roman" w:cs="Times New Roman"/>
          <w:sz w:val="24"/>
          <w:szCs w:val="24"/>
        </w:rPr>
        <w:t xml:space="preserve">, REQUER a realização de perícia consistente de ..., contratando-se profissional habilitado e competente nessa área. </w:t>
      </w:r>
    </w:p>
    <w:p w14:paraId="069BD2AE" w14:textId="77777777" w:rsidR="00EA2450" w:rsidRPr="00EA2450" w:rsidRDefault="00EA2450" w:rsidP="005203C4">
      <w:pPr>
        <w:pStyle w:val="Texto"/>
        <w:ind w:right="-568"/>
        <w:rPr>
          <w:rFonts w:ascii="Times New Roman" w:hAnsi="Times New Roman" w:cs="Times New Roman"/>
          <w:sz w:val="24"/>
          <w:szCs w:val="24"/>
        </w:rPr>
      </w:pPr>
    </w:p>
    <w:p w14:paraId="22EE109D" w14:textId="77777777" w:rsidR="00EA2450" w:rsidRPr="00EA2450" w:rsidRDefault="00EA2450" w:rsidP="005203C4">
      <w:pPr>
        <w:pStyle w:val="Texto"/>
        <w:ind w:right="-568"/>
        <w:rPr>
          <w:rFonts w:ascii="Times New Roman" w:hAnsi="Times New Roman" w:cs="Times New Roman"/>
          <w:sz w:val="24"/>
          <w:szCs w:val="24"/>
        </w:rPr>
      </w:pPr>
      <w:r w:rsidRPr="00EA2450">
        <w:rPr>
          <w:rFonts w:ascii="Times New Roman" w:hAnsi="Times New Roman" w:cs="Times New Roman"/>
          <w:sz w:val="24"/>
          <w:szCs w:val="24"/>
        </w:rPr>
        <w:t xml:space="preserve">Outrossim, requer sejam intimadas as partes para adiantarem o valor necessário para as despesas e honorários da prova pericial, </w:t>
      </w:r>
      <w:r w:rsidRPr="00EA2450">
        <w:rPr>
          <w:rFonts w:ascii="Times New Roman" w:hAnsi="Times New Roman" w:cs="Times New Roman"/>
          <w:i/>
          <w:iCs/>
          <w:sz w:val="24"/>
          <w:szCs w:val="24"/>
        </w:rPr>
        <w:t>ex-vi</w:t>
      </w:r>
      <w:r w:rsidRPr="00EA2450">
        <w:rPr>
          <w:rFonts w:ascii="Times New Roman" w:hAnsi="Times New Roman" w:cs="Times New Roman"/>
          <w:sz w:val="24"/>
          <w:szCs w:val="24"/>
        </w:rPr>
        <w:t xml:space="preserve"> art. 13 § 7º da Lei n. 9.307/96</w:t>
      </w:r>
      <w:r w:rsidRPr="00EA2450">
        <w:rPr>
          <w:rFonts w:ascii="Times New Roman" w:hAnsi="Times New Roman" w:cs="Times New Roman"/>
          <w:sz w:val="24"/>
          <w:szCs w:val="24"/>
          <w:vertAlign w:val="superscript"/>
        </w:rPr>
        <w:footnoteReference w:id="2"/>
      </w:r>
      <w:r w:rsidRPr="00EA2450">
        <w:rPr>
          <w:rFonts w:ascii="Times New Roman" w:hAnsi="Times New Roman" w:cs="Times New Roman"/>
          <w:sz w:val="24"/>
          <w:szCs w:val="24"/>
        </w:rPr>
        <w:t>.</w:t>
      </w:r>
    </w:p>
    <w:p w14:paraId="220021BE" w14:textId="77777777" w:rsidR="00EA2450" w:rsidRPr="00EA2450" w:rsidRDefault="00EA2450" w:rsidP="005203C4">
      <w:pPr>
        <w:pStyle w:val="Centralizado"/>
        <w:ind w:right="-568"/>
        <w:rPr>
          <w:rFonts w:ascii="Times New Roman" w:hAnsi="Times New Roman" w:cs="Times New Roman"/>
          <w:sz w:val="24"/>
          <w:szCs w:val="24"/>
        </w:rPr>
      </w:pPr>
    </w:p>
    <w:p w14:paraId="7A1B2D2B" w14:textId="77777777" w:rsidR="00EA2450" w:rsidRPr="00EA2450" w:rsidRDefault="00EA2450" w:rsidP="005203C4">
      <w:pPr>
        <w:pStyle w:val="Centralizado"/>
        <w:ind w:right="-568"/>
        <w:rPr>
          <w:rFonts w:ascii="Times New Roman" w:hAnsi="Times New Roman" w:cs="Times New Roman"/>
          <w:sz w:val="24"/>
          <w:szCs w:val="24"/>
        </w:rPr>
      </w:pPr>
      <w:r w:rsidRPr="00EA2450">
        <w:rPr>
          <w:rFonts w:ascii="Times New Roman" w:hAnsi="Times New Roman" w:cs="Times New Roman"/>
          <w:sz w:val="24"/>
          <w:szCs w:val="24"/>
        </w:rPr>
        <w:t>P. Deferimento</w:t>
      </w:r>
    </w:p>
    <w:p w14:paraId="7FA0BED5" w14:textId="77777777" w:rsidR="00EA2450" w:rsidRPr="00EA2450" w:rsidRDefault="00EA2450" w:rsidP="005203C4">
      <w:pPr>
        <w:pStyle w:val="Centralizado"/>
        <w:ind w:right="-568"/>
        <w:rPr>
          <w:rFonts w:ascii="Times New Roman" w:hAnsi="Times New Roman" w:cs="Times New Roman"/>
          <w:sz w:val="24"/>
          <w:szCs w:val="24"/>
        </w:rPr>
      </w:pPr>
      <w:r w:rsidRPr="00EA2450">
        <w:rPr>
          <w:rFonts w:ascii="Times New Roman" w:hAnsi="Times New Roman" w:cs="Times New Roman"/>
          <w:sz w:val="24"/>
          <w:szCs w:val="24"/>
        </w:rPr>
        <w:t>(Local e data)</w:t>
      </w:r>
    </w:p>
    <w:p w14:paraId="54C5E717" w14:textId="77777777" w:rsidR="00EA2450" w:rsidRPr="00EA2450" w:rsidRDefault="00EA2450" w:rsidP="005203C4">
      <w:pPr>
        <w:pStyle w:val="Centralizado"/>
        <w:ind w:right="-568"/>
        <w:rPr>
          <w:rFonts w:ascii="Times New Roman" w:hAnsi="Times New Roman" w:cs="Times New Roman"/>
          <w:sz w:val="24"/>
          <w:szCs w:val="24"/>
        </w:rPr>
      </w:pPr>
      <w:r w:rsidRPr="00EA2450">
        <w:rPr>
          <w:rFonts w:ascii="Times New Roman" w:hAnsi="Times New Roman" w:cs="Times New Roman"/>
          <w:sz w:val="24"/>
          <w:szCs w:val="24"/>
        </w:rPr>
        <w:t>(Assinatura da parte ou de quem a represente)</w:t>
      </w:r>
    </w:p>
    <w:p w14:paraId="473F44FB" w14:textId="77777777" w:rsidR="00791835" w:rsidRDefault="00791835" w:rsidP="005203C4">
      <w:pPr>
        <w:ind w:right="-568"/>
      </w:pPr>
    </w:p>
    <w:sectPr w:rsidR="00791835" w:rsidSect="000B5ABB">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3BF673" w14:textId="77777777" w:rsidR="000920EE" w:rsidRDefault="000920EE" w:rsidP="00EA2450">
      <w:pPr>
        <w:spacing w:after="0" w:line="240" w:lineRule="auto"/>
      </w:pPr>
      <w:r>
        <w:separator/>
      </w:r>
    </w:p>
  </w:endnote>
  <w:endnote w:type="continuationSeparator" w:id="0">
    <w:p w14:paraId="74473890" w14:textId="77777777" w:rsidR="000920EE" w:rsidRDefault="000920EE" w:rsidP="00EA24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963079" w14:textId="77777777" w:rsidR="000920EE" w:rsidRDefault="000920EE" w:rsidP="00EA2450">
      <w:pPr>
        <w:spacing w:after="0" w:line="240" w:lineRule="auto"/>
      </w:pPr>
      <w:r>
        <w:separator/>
      </w:r>
    </w:p>
  </w:footnote>
  <w:footnote w:type="continuationSeparator" w:id="0">
    <w:p w14:paraId="4ECD0C05" w14:textId="77777777" w:rsidR="000920EE" w:rsidRDefault="000920EE" w:rsidP="00EA2450">
      <w:pPr>
        <w:spacing w:after="0" w:line="240" w:lineRule="auto"/>
      </w:pPr>
      <w:r>
        <w:continuationSeparator/>
      </w:r>
    </w:p>
  </w:footnote>
  <w:footnote w:id="1">
    <w:p w14:paraId="39201792" w14:textId="77777777" w:rsidR="00EA2450" w:rsidRPr="00EA2450" w:rsidRDefault="00EA2450" w:rsidP="005203C4">
      <w:pPr>
        <w:pStyle w:val="Rodap"/>
        <w:tabs>
          <w:tab w:val="clear" w:pos="8504"/>
          <w:tab w:val="right" w:pos="9356"/>
        </w:tabs>
        <w:ind w:right="-567"/>
        <w:jc w:val="both"/>
        <w:rPr>
          <w:sz w:val="20"/>
          <w:szCs w:val="20"/>
        </w:rPr>
      </w:pPr>
      <w:r w:rsidRPr="00EA2450">
        <w:rPr>
          <w:sz w:val="20"/>
          <w:szCs w:val="20"/>
          <w:vertAlign w:val="superscript"/>
        </w:rPr>
        <w:footnoteRef/>
      </w:r>
      <w:r w:rsidRPr="00EA2450">
        <w:rPr>
          <w:spacing w:val="2"/>
          <w:sz w:val="20"/>
          <w:szCs w:val="20"/>
        </w:rPr>
        <w:tab/>
      </w:r>
      <w:r w:rsidRPr="00EA2450">
        <w:rPr>
          <w:b/>
          <w:bCs/>
          <w:spacing w:val="2"/>
          <w:sz w:val="20"/>
          <w:szCs w:val="20"/>
        </w:rPr>
        <w:t xml:space="preserve">Art. 22. </w:t>
      </w:r>
      <w:r w:rsidRPr="00EA2450">
        <w:rPr>
          <w:spacing w:val="2"/>
          <w:sz w:val="20"/>
          <w:szCs w:val="20"/>
        </w:rPr>
        <w:t>Poderá o árbitro ou o tribunal arbitral tomar o depoimento das partes, ouvir testemunhas e determinar a realização de perícias ou outras provas que julgar necessárias, mediante requerimento das partes ou de ofício (...).</w:t>
      </w:r>
    </w:p>
  </w:footnote>
  <w:footnote w:id="2">
    <w:p w14:paraId="1F34FD87" w14:textId="77777777" w:rsidR="00EA2450" w:rsidRPr="00EA2450" w:rsidRDefault="00EA2450" w:rsidP="005203C4">
      <w:pPr>
        <w:pStyle w:val="Rodap"/>
        <w:tabs>
          <w:tab w:val="clear" w:pos="8504"/>
          <w:tab w:val="right" w:pos="9356"/>
        </w:tabs>
        <w:ind w:right="-567"/>
        <w:jc w:val="both"/>
        <w:rPr>
          <w:sz w:val="20"/>
          <w:szCs w:val="20"/>
        </w:rPr>
      </w:pPr>
      <w:r w:rsidRPr="00EA2450">
        <w:rPr>
          <w:sz w:val="20"/>
          <w:szCs w:val="20"/>
          <w:vertAlign w:val="superscript"/>
        </w:rPr>
        <w:footnoteRef/>
      </w:r>
      <w:r w:rsidRPr="00EA2450">
        <w:rPr>
          <w:spacing w:val="2"/>
          <w:sz w:val="20"/>
          <w:szCs w:val="20"/>
        </w:rPr>
        <w:tab/>
      </w:r>
      <w:r w:rsidRPr="00EA2450">
        <w:rPr>
          <w:b/>
          <w:bCs/>
          <w:spacing w:val="2"/>
          <w:sz w:val="20"/>
          <w:szCs w:val="20"/>
        </w:rPr>
        <w:t>Art. 13.</w:t>
      </w:r>
      <w:r w:rsidRPr="00EA2450">
        <w:rPr>
          <w:spacing w:val="2"/>
          <w:sz w:val="20"/>
          <w:szCs w:val="20"/>
        </w:rPr>
        <w:t xml:space="preserve"> Pode ser árbitro qualquer pessoa capaz e que tenha a confiança das partes (...) </w:t>
      </w:r>
      <w:r w:rsidRPr="00EA2450">
        <w:rPr>
          <w:b/>
          <w:spacing w:val="2"/>
          <w:sz w:val="20"/>
          <w:szCs w:val="20"/>
        </w:rPr>
        <w:t>§ 7º</w:t>
      </w:r>
      <w:r w:rsidRPr="00EA2450">
        <w:rPr>
          <w:spacing w:val="2"/>
          <w:sz w:val="20"/>
          <w:szCs w:val="20"/>
        </w:rPr>
        <w:t xml:space="preserve"> Poderá o árbitro ou o tribunal arbitral determinar às partes o adiantamento de verbas para despesas e diligências que julgar necessárias.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450"/>
    <w:rsid w:val="0007284D"/>
    <w:rsid w:val="000920EE"/>
    <w:rsid w:val="000B5ABB"/>
    <w:rsid w:val="000E06D4"/>
    <w:rsid w:val="00224BF2"/>
    <w:rsid w:val="002A4AEE"/>
    <w:rsid w:val="00475F29"/>
    <w:rsid w:val="005203C4"/>
    <w:rsid w:val="00791835"/>
    <w:rsid w:val="007D1FBC"/>
    <w:rsid w:val="008C0B39"/>
    <w:rsid w:val="00C84004"/>
    <w:rsid w:val="00D46060"/>
    <w:rsid w:val="00EA2450"/>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9F18"/>
  <w15:docId w15:val="{86119460-EA4A-44DF-A745-8EC7C7B12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uiPriority w:val="10"/>
    <w:qFormat/>
    <w:rsid w:val="00EA2450"/>
    <w:pPr>
      <w:autoSpaceDE w:val="0"/>
      <w:autoSpaceDN w:val="0"/>
      <w:adjustRightInd w:val="0"/>
      <w:spacing w:before="113" w:after="170" w:line="300" w:lineRule="atLeast"/>
      <w:jc w:val="center"/>
      <w:textAlignment w:val="center"/>
    </w:pPr>
    <w:rPr>
      <w:rFonts w:ascii="Garamond" w:eastAsia="Times New Roman" w:hAnsi="Garamond" w:cs="Garamond"/>
      <w:b/>
      <w:bCs/>
      <w:color w:val="000000"/>
      <w:sz w:val="28"/>
      <w:szCs w:val="28"/>
      <w:lang w:eastAsia="pt-BR"/>
    </w:rPr>
  </w:style>
  <w:style w:type="character" w:customStyle="1" w:styleId="TtuloChar">
    <w:name w:val="Título Char"/>
    <w:basedOn w:val="Fontepargpadro"/>
    <w:link w:val="Ttulo"/>
    <w:uiPriority w:val="10"/>
    <w:rsid w:val="00EA2450"/>
    <w:rPr>
      <w:rFonts w:ascii="Garamond" w:eastAsia="Times New Roman" w:hAnsi="Garamond" w:cs="Garamond"/>
      <w:b/>
      <w:bCs/>
      <w:color w:val="000000"/>
      <w:sz w:val="28"/>
      <w:szCs w:val="28"/>
      <w:lang w:eastAsia="pt-BR"/>
    </w:rPr>
  </w:style>
  <w:style w:type="paragraph" w:styleId="Rodap">
    <w:name w:val="footer"/>
    <w:basedOn w:val="Normal"/>
    <w:link w:val="RodapChar"/>
    <w:uiPriority w:val="99"/>
    <w:rsid w:val="00EA2450"/>
    <w:pPr>
      <w:tabs>
        <w:tab w:val="center" w:pos="4252"/>
        <w:tab w:val="right" w:pos="8504"/>
      </w:tabs>
      <w:spacing w:after="0" w:line="240" w:lineRule="auto"/>
    </w:pPr>
    <w:rPr>
      <w:rFonts w:ascii="Times New Roman" w:eastAsia="Times New Roman" w:hAnsi="Times New Roman" w:cs="Times New Roman"/>
      <w:sz w:val="24"/>
      <w:szCs w:val="24"/>
      <w:lang w:eastAsia="pt-BR"/>
    </w:rPr>
  </w:style>
  <w:style w:type="character" w:customStyle="1" w:styleId="RodapChar">
    <w:name w:val="Rodapé Char"/>
    <w:basedOn w:val="Fontepargpadro"/>
    <w:link w:val="Rodap"/>
    <w:uiPriority w:val="99"/>
    <w:rsid w:val="00EA2450"/>
    <w:rPr>
      <w:rFonts w:ascii="Times New Roman" w:eastAsia="Times New Roman" w:hAnsi="Times New Roman" w:cs="Times New Roman"/>
      <w:sz w:val="24"/>
      <w:szCs w:val="24"/>
      <w:lang w:eastAsia="pt-BR"/>
    </w:rPr>
  </w:style>
  <w:style w:type="paragraph" w:customStyle="1" w:styleId="Texto">
    <w:name w:val="Texto"/>
    <w:basedOn w:val="Normal"/>
    <w:rsid w:val="00EA2450"/>
    <w:pPr>
      <w:autoSpaceDE w:val="0"/>
      <w:autoSpaceDN w:val="0"/>
      <w:adjustRightInd w:val="0"/>
      <w:spacing w:after="0" w:line="250" w:lineRule="atLeast"/>
      <w:jc w:val="both"/>
      <w:textAlignment w:val="center"/>
    </w:pPr>
    <w:rPr>
      <w:rFonts w:ascii="Garamond" w:eastAsia="Times New Roman" w:hAnsi="Garamond" w:cs="Garamond"/>
      <w:color w:val="000000"/>
      <w:sz w:val="21"/>
      <w:szCs w:val="21"/>
      <w:lang w:eastAsia="pt-BR"/>
    </w:rPr>
  </w:style>
  <w:style w:type="paragraph" w:customStyle="1" w:styleId="Comentrios">
    <w:name w:val="Comentários"/>
    <w:basedOn w:val="Normal"/>
    <w:rsid w:val="00EA2450"/>
    <w:pPr>
      <w:autoSpaceDE w:val="0"/>
      <w:autoSpaceDN w:val="0"/>
      <w:adjustRightInd w:val="0"/>
      <w:spacing w:after="0" w:line="240" w:lineRule="atLeast"/>
      <w:ind w:left="227"/>
      <w:jc w:val="both"/>
      <w:textAlignment w:val="center"/>
    </w:pPr>
    <w:rPr>
      <w:rFonts w:ascii="Garamond" w:eastAsia="Times New Roman" w:hAnsi="Garamond" w:cs="Garamond"/>
      <w:color w:val="000000"/>
      <w:sz w:val="20"/>
      <w:szCs w:val="20"/>
      <w:lang w:eastAsia="pt-BR"/>
    </w:rPr>
  </w:style>
  <w:style w:type="paragraph" w:customStyle="1" w:styleId="Centralizado">
    <w:name w:val="Centralizado"/>
    <w:basedOn w:val="Normal"/>
    <w:rsid w:val="00EA2450"/>
    <w:pPr>
      <w:suppressAutoHyphens/>
      <w:autoSpaceDE w:val="0"/>
      <w:autoSpaceDN w:val="0"/>
      <w:adjustRightInd w:val="0"/>
      <w:spacing w:after="0" w:line="250" w:lineRule="atLeast"/>
      <w:jc w:val="center"/>
      <w:textAlignment w:val="center"/>
    </w:pPr>
    <w:rPr>
      <w:rFonts w:ascii="Garamond" w:eastAsia="Times New Roman" w:hAnsi="Garamond" w:cs="Garamond"/>
      <w:color w:val="000000"/>
      <w:sz w:val="21"/>
      <w:szCs w:val="21"/>
      <w:lang w:eastAsia="pt-BR"/>
    </w:rPr>
  </w:style>
  <w:style w:type="character" w:styleId="Forte">
    <w:name w:val="Strong"/>
    <w:uiPriority w:val="22"/>
    <w:qFormat/>
    <w:rsid w:val="000E06D4"/>
    <w:rPr>
      <w:rFonts w:ascii="Times New Roman" w:hAnsi="Times New Roman" w:cs="Times New Roman" w:hint="default"/>
      <w:b/>
      <w:bCs/>
      <w:w w:val="1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60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146</Words>
  <Characters>790</Characters>
  <Application>Microsoft Office Word</Application>
  <DocSecurity>0</DocSecurity>
  <Lines>6</Lines>
  <Paragraphs>1</Paragraphs>
  <ScaleCrop>false</ScaleCrop>
  <Company/>
  <LinksUpToDate>false</LinksUpToDate>
  <CharactersWithSpaces>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4</cp:revision>
  <dcterms:created xsi:type="dcterms:W3CDTF">2020-07-10T13:24:00Z</dcterms:created>
  <dcterms:modified xsi:type="dcterms:W3CDTF">2020-08-28T00:47:00Z</dcterms:modified>
</cp:coreProperties>
</file>