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9BA1E" w14:textId="77777777" w:rsidR="001C10A2" w:rsidRPr="00F21DE8" w:rsidRDefault="001C10A2" w:rsidP="001C10A2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 w:rsidRPr="00F21DE8"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14:paraId="39B5F3BB" w14:textId="3339FA62" w:rsidR="008B639E" w:rsidRPr="00F21DE8" w:rsidRDefault="00F21DE8" w:rsidP="001C10A2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 w:rsidRPr="00F21DE8">
        <w:rPr>
          <w:rFonts w:ascii="Arial Black" w:hAnsi="Arial Black"/>
          <w:b/>
          <w:sz w:val="24"/>
          <w:szCs w:val="24"/>
        </w:rPr>
        <w:t xml:space="preserve">PROCESSO CIVIL. </w:t>
      </w:r>
      <w:r w:rsidR="00182C57" w:rsidRPr="00F21DE8">
        <w:rPr>
          <w:rFonts w:ascii="Arial Black" w:hAnsi="Arial Black" w:cs="Times New Roman"/>
          <w:b/>
          <w:spacing w:val="0"/>
          <w:sz w:val="24"/>
          <w:szCs w:val="24"/>
        </w:rPr>
        <w:t xml:space="preserve">APELAÇÃO. </w:t>
      </w:r>
      <w:r w:rsidR="008B639E" w:rsidRPr="00F21DE8">
        <w:rPr>
          <w:rFonts w:ascii="Arial Black" w:hAnsi="Arial Black" w:cs="Times New Roman"/>
          <w:b/>
          <w:spacing w:val="0"/>
          <w:sz w:val="24"/>
          <w:szCs w:val="24"/>
        </w:rPr>
        <w:t>INOVAÇÃO RECURSAL</w:t>
      </w:r>
      <w:r w:rsidR="00182C57" w:rsidRPr="00F21DE8">
        <w:rPr>
          <w:rFonts w:ascii="Arial Black" w:hAnsi="Arial Black" w:cs="Times New Roman"/>
          <w:b/>
          <w:spacing w:val="0"/>
          <w:sz w:val="24"/>
          <w:szCs w:val="24"/>
        </w:rPr>
        <w:t>. NÃO CONHECIMENTO</w:t>
      </w:r>
    </w:p>
    <w:p w14:paraId="145416D1" w14:textId="77777777" w:rsidR="00F73C04" w:rsidRPr="00F73C04" w:rsidRDefault="00F73C04" w:rsidP="00F73C04">
      <w:pPr>
        <w:pStyle w:val="Ttulo"/>
        <w:spacing w:before="0" w:after="0" w:line="240" w:lineRule="auto"/>
        <w:ind w:right="-568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78FC0725" w14:textId="77777777" w:rsid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7AB119F" w14:textId="77777777" w:rsid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639E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>xmo. Sr. Des. ... - DD Relator da Apelação Cível n. ... - ...ª Câmara Cível do TJ...</w:t>
      </w:r>
    </w:p>
    <w:p w14:paraId="78CFF246" w14:textId="77777777" w:rsid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C8E6ED3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ESPÓLIO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 apelada, através de seu inventariante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, nos autos da Apelação Cível epigrafada, apresentada por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, apelante, vem, respeitosamente, em atenção ao r. despacho de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 verso TJ/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 aduzir o que se segue:</w:t>
      </w:r>
    </w:p>
    <w:p w14:paraId="5F3E772E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A6F1A71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I- PATENTE A INOVAÇÃO RECURSAL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!</w:t>
      </w:r>
    </w:p>
    <w:p w14:paraId="13564F20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1262BA7" w14:textId="17E3D2D1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639E">
        <w:rPr>
          <w:rFonts w:ascii="Times New Roman" w:hAnsi="Times New Roman" w:cs="Times New Roman"/>
          <w:spacing w:val="0"/>
          <w:sz w:val="24"/>
          <w:szCs w:val="24"/>
        </w:rPr>
        <w:t>A DECISÃO INTERLOCUTÓRIA QUE DEFERIU O “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HOME CARE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” NÃO FOI OBJETO DE QUALQUER INSURGÊNCIA PELO APELANTE SOB O FUNDAMENTO DE QUE ESTARIA FORA DOS LIMITES DA COBERTURA CONTRATUAL - </w:t>
      </w:r>
    </w:p>
    <w:p w14:paraId="6065AC3D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78D82B1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639E">
        <w:rPr>
          <w:rFonts w:ascii="Times New Roman" w:hAnsi="Times New Roman" w:cs="Times New Roman"/>
          <w:spacing w:val="0"/>
          <w:sz w:val="24"/>
          <w:szCs w:val="24"/>
        </w:rPr>
        <w:t>JAMAIS SE DISCUTIU NO CURSO DA INSTRUÇÃO PROCESSUAL [na produção das provas documental, pericial e testemunhal] QUE O DEFERIMENTO DO “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HOME CARE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” TERIA VULNERADO AS RESPONSABILIDADES CONTRATUAIS DA APELANTE-</w:t>
      </w:r>
    </w:p>
    <w:p w14:paraId="4ADB94AB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4E35230" w14:textId="1A1B605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639E">
        <w:rPr>
          <w:rFonts w:ascii="Times New Roman" w:hAnsi="Times New Roman" w:cs="Times New Roman"/>
          <w:spacing w:val="0"/>
          <w:sz w:val="24"/>
          <w:szCs w:val="24"/>
        </w:rPr>
        <w:t>A V. SENTENÇA NADA DECIDIU SOBRE A MATÉRIA ESPECÍFICA DE QUE O “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HOME CARE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” ESTARIA FORA DAS OBRIGAÇÕES CONTRATUAIS DA APELANTE, POIS NUNCA HOUVE OPOSIÇÃO POR PARTE DO RECORRENTE -</w:t>
      </w:r>
    </w:p>
    <w:p w14:paraId="7FD4F51E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7CC7F81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NEM MESMO NOS PEDIDOS FORMULADOS NA APELAÇÃO HÁ PLEITO DE REFORMA DA SENTENÇA NO QUE TANGE À DECISÃO INTERLOCUTÓRIA DE DEFERIMENTO DO 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HOME CARE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 POR NÃO SE ENQUADRAR NO OBJETO DO CONTRATO - </w:t>
      </w:r>
    </w:p>
    <w:p w14:paraId="6B443839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32DE409" w14:textId="77777777" w:rsid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639E">
        <w:rPr>
          <w:rFonts w:ascii="Times New Roman" w:hAnsi="Times New Roman" w:cs="Times New Roman"/>
          <w:spacing w:val="0"/>
          <w:sz w:val="24"/>
          <w:szCs w:val="24"/>
        </w:rPr>
        <w:t>PRELIMINAR DE OFÍCIO: NÃO CONHEC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IMENTO DESTA INOVAÇÃO RECURSAL </w:t>
      </w:r>
    </w:p>
    <w:p w14:paraId="0291F488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45EAEEB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Em decisão datada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 o d. Juízo 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a quo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 deferiu o pedido incidental de internação domiciliar “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 xml:space="preserve">home </w:t>
      </w:r>
      <w:proofErr w:type="spellStart"/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care</w:t>
      </w:r>
      <w:proofErr w:type="spellEnd"/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”, sob o fundamento de que se trata de uma continuidade do tratamento médico pós-cirúrgico estabelecido por indicação médica, conforme se depreende da r. decisão de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[vol.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14:paraId="2F6938FA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2BBA3DC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A rigor, o apelante não se insurgiu contra esta decisão interlocutória incidental do deferimento do 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 xml:space="preserve">home </w:t>
      </w:r>
      <w:proofErr w:type="spellStart"/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care</w:t>
      </w:r>
      <w:proofErr w:type="spellEnd"/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 através do recurso cabível à época de agravo retido ou de instrumento [CPC/73, </w:t>
      </w:r>
      <w:proofErr w:type="spellStart"/>
      <w:r w:rsidRPr="008B639E">
        <w:rPr>
          <w:rFonts w:ascii="Times New Roman" w:hAnsi="Times New Roman" w:cs="Times New Roman"/>
          <w:spacing w:val="0"/>
          <w:sz w:val="24"/>
          <w:szCs w:val="24"/>
        </w:rPr>
        <w:t>arts</w:t>
      </w:r>
      <w:proofErr w:type="spellEnd"/>
      <w:r w:rsidRPr="008B639E">
        <w:rPr>
          <w:rFonts w:ascii="Times New Roman" w:hAnsi="Times New Roman" w:cs="Times New Roman"/>
          <w:spacing w:val="0"/>
          <w:sz w:val="24"/>
          <w:szCs w:val="24"/>
        </w:rPr>
        <w:t>. 162, § 2º e 522], restando, destarte, preclusa sua discussão a posteriori [CPC/73, art. 473]</w:t>
      </w:r>
      <w:r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1"/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</w:p>
    <w:p w14:paraId="238A3558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82D45B7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3.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E a v. sentença apelada veio mais uma vez confirmar essa decisão incidental de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, evidentemente tomando-a como tutela antecipada cautelar suscetível seu deferimento à luz do estabelecia quando de sua prolação o art. 273, § 7º do CPC/73. </w:t>
      </w:r>
      <w:r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2"/>
      </w:r>
    </w:p>
    <w:p w14:paraId="4BD841AA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25BFBD6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Especialmente quanto ao deferimento incidental do 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 xml:space="preserve">home </w:t>
      </w:r>
      <w:proofErr w:type="spellStart"/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care</w:t>
      </w:r>
      <w:proofErr w:type="spellEnd"/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a v. sentença de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 nada açambarcou no que se refere ao descumprimento das cláusulas contratuais, pois não houve qualquer insurgência ou discussão nesse sentido por parte do apelante.</w:t>
      </w:r>
    </w:p>
    <w:p w14:paraId="5DD91BDA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D0E759A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Basta ler os autos e se apura que depois do interlocutório de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 houve um pedido de reconsideração da apelante/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 envolvendo exclusivamente a impossibilidade da transferência da paciente por questões médicas [fls.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]; com o que concordou a paciente para mantê-la no hospital ´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´ [fls.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]; e ao final a apelante demonstrou o cumprimento da decisão do “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 xml:space="preserve">home </w:t>
      </w:r>
      <w:proofErr w:type="spellStart"/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care</w:t>
      </w:r>
      <w:proofErr w:type="spellEnd"/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” [fls.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14:paraId="5EC27500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50F7C1B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Nem nas provas pericial e testemunhal foi suscitada a questão da legalidade e da extensão de cobertura do contrato de plano de saúde do 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 xml:space="preserve">home </w:t>
      </w:r>
      <w:proofErr w:type="spellStart"/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care</w:t>
      </w:r>
      <w:proofErr w:type="spellEnd"/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.</w:t>
      </w:r>
    </w:p>
    <w:p w14:paraId="1E19025C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07C4223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Noutra vértice, cumpre registrar que a apelação inova numa matéria NUNCA trazida à baila quanto à exclusão da cobertura/limitação do contrato para cobertura do atendimento domiciliar sob o fundamento de que “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o contrato estabelecido entre as partes prevê expressamente, através da cláusula nona, exclusão do atendimento e internação domiciliar, não havendo que se falar em nulidade da mesma...A exclusão da cobertura em discussão além de estar amparada por disposições legais e contratuais, configura apenas exercício regular do direito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” [sic- trechos das razões da apelação às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14:paraId="7A0213D3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CBF810F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8.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Portanto, a questão de que o deferimento do 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 xml:space="preserve">home </w:t>
      </w:r>
      <w:proofErr w:type="spellStart"/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care</w:t>
      </w:r>
      <w:proofErr w:type="spellEnd"/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 em sede de tutela antecipada incidental cautelar contrariou ou não as cláusulas contratuais NÃO FOI SUSCITADA OU DISCUTIDA NO PROCESSO, 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 xml:space="preserve">et </w:t>
      </w:r>
      <w:proofErr w:type="spellStart"/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pour</w:t>
      </w:r>
      <w:proofErr w:type="spellEnd"/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 xml:space="preserve"> causae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, obviamente, NÃO SE TRATOU DE MATÉRIA SUBMISSA À APRECIAÇÃO E JULGAMENTO PELA V. SENTENÇA APELADA!</w:t>
      </w:r>
    </w:p>
    <w:p w14:paraId="19C6FC96" w14:textId="77777777" w:rsid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1D4BBB2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9.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Ao juiz não cabe decidir matéria não discutida nos autos, exceto aquelas de ordem pública [que não é o caso dos autos], 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 xml:space="preserve">data </w:t>
      </w:r>
      <w:proofErr w:type="spellStart"/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venia</w:t>
      </w:r>
      <w:proofErr w:type="spellEnd"/>
      <w:r w:rsidRPr="008B639E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59314DCA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3822C14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10.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É regra cogente estatuída pelo art. 141 do CPC que “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o juiz decidirá o mérito nos limites propostos pelas partes, sendo-lhe vedado conhecer de questões não suscitadas a cujo respeito a lei exige iniciativa da parte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” [destaque nosso].</w:t>
      </w:r>
    </w:p>
    <w:p w14:paraId="43E1E91C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CB8BBF3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11.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E a parte dispositiva da v. sentença ao confirmar a decisão interlocutória de fls.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 a fez pelos mesmos fundamentos do seu anterior deferimento incidental, ou seja, o atendimento domiciliar por indicação médica, dando-se, destarte, sequencia lógica ao tratamento pós-cirúrgico da paciente. Absolutamente nada se discutiu na fase de instrução ao derredor de que o 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 xml:space="preserve">home </w:t>
      </w:r>
      <w:proofErr w:type="spellStart"/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care</w:t>
      </w:r>
      <w:proofErr w:type="spellEnd"/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 seria estaria ou não excluído das cláusulas de cobertura do seguro de saúde.</w:t>
      </w:r>
    </w:p>
    <w:p w14:paraId="660F3EE1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1EC2343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12.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O art. 1.013, § 1º do CPC/15, só admite a apreciação pelo tribunal das questões suscitadas e discutidas, ainda que não tenham sido solucionadas, desde que relativas ao capítulo impugnado.</w:t>
      </w:r>
    </w:p>
    <w:p w14:paraId="0B11C644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3EFDB2C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13.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Ora, como dito e enfatizado, a questão se o 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 xml:space="preserve">home </w:t>
      </w:r>
      <w:proofErr w:type="spellStart"/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care</w:t>
      </w:r>
      <w:proofErr w:type="spellEnd"/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 [atendimento domiciliar] estaria excluído da abrangência contratual não foi suscitada e discutida na instrução processual, motivo pelo qual não foi alcançada na v. sentença, sendo defeso inovar sua análise na apelação.</w:t>
      </w:r>
    </w:p>
    <w:p w14:paraId="63B7F0DD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2A02BDF" w14:textId="77777777" w:rsid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14.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Especialistas na temática elucidam NELSON NERY e ROSA MARIA: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ab/>
      </w:r>
    </w:p>
    <w:p w14:paraId="75BFDED4" w14:textId="77777777" w:rsid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CD45C88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639E"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 xml:space="preserve">A limitação do mérito do recurso, fixada pelo efeito devolutivo, tem como consequências: a) a limitação do conhecimento do tribunal, que fica restrito à matéria efetivamente impugnada (tantum </w:t>
      </w:r>
      <w:proofErr w:type="spellStart"/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devolutum</w:t>
      </w:r>
      <w:proofErr w:type="spellEnd"/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 xml:space="preserve"> quantum </w:t>
      </w:r>
      <w:proofErr w:type="spellStart"/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appellatum</w:t>
      </w:r>
      <w:proofErr w:type="spellEnd"/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); b) proibição da reforma para pior; c) proibição de inovar em sede de apelação (proibição de modificar a causa de pedir ou o pedido)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”</w:t>
      </w:r>
      <w:r w:rsidR="009C747A"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3"/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</w:p>
    <w:p w14:paraId="59EEAE70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4A6E125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15.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No ponto, firme o repositório jurisprudencial d</w:t>
      </w:r>
      <w:r>
        <w:rPr>
          <w:rFonts w:ascii="Times New Roman" w:hAnsi="Times New Roman" w:cs="Times New Roman"/>
          <w:spacing w:val="0"/>
          <w:sz w:val="24"/>
          <w:szCs w:val="24"/>
        </w:rPr>
        <w:t>a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8B639E">
        <w:rPr>
          <w:rFonts w:ascii="Times New Roman" w:hAnsi="Times New Roman" w:cs="Times New Roman"/>
          <w:spacing w:val="0"/>
          <w:sz w:val="24"/>
          <w:szCs w:val="24"/>
        </w:rPr>
        <w:t>eg</w:t>
      </w:r>
      <w:proofErr w:type="spellEnd"/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. 15ª Câmara Cível do TJMG, 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verbi gratia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011815D9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40ACB4D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i/>
          <w:spacing w:val="0"/>
          <w:sz w:val="24"/>
          <w:szCs w:val="24"/>
        </w:rPr>
        <w:t>“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A inovação recursal, caracterizada pela suscitação de tese inédita em instância revisora, é vedada pelo ordenamento jurídico pátrio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.”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[TJMG, </w:t>
      </w:r>
      <w:proofErr w:type="spellStart"/>
      <w:r w:rsidRPr="008B639E">
        <w:rPr>
          <w:rFonts w:ascii="Times New Roman" w:hAnsi="Times New Roman" w:cs="Times New Roman"/>
          <w:spacing w:val="0"/>
          <w:sz w:val="24"/>
          <w:szCs w:val="24"/>
        </w:rPr>
        <w:t>Apel</w:t>
      </w:r>
      <w:proofErr w:type="spellEnd"/>
      <w:r w:rsidRPr="008B639E">
        <w:rPr>
          <w:rFonts w:ascii="Times New Roman" w:hAnsi="Times New Roman" w:cs="Times New Roman"/>
          <w:spacing w:val="0"/>
          <w:sz w:val="24"/>
          <w:szCs w:val="24"/>
        </w:rPr>
        <w:t>. Cível 1.0236.17.001463-3/001, Rel. Des. Carlos Henrique Perpétuo Braga, DJ 31.08.2018]</w:t>
      </w:r>
    </w:p>
    <w:p w14:paraId="7D25F58E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44A30DA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O tribunal ad quem não pode conhecer de matéria não suscitada e não decidida em primeiro grau, sob pena de supressão de instância. Tal prática é conhecida como inovação recursal e repudiada pelo nosso ordenamento jurídico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”.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[TJMG, </w:t>
      </w:r>
      <w:proofErr w:type="spellStart"/>
      <w:r w:rsidRPr="008B639E">
        <w:rPr>
          <w:rFonts w:ascii="Times New Roman" w:hAnsi="Times New Roman" w:cs="Times New Roman"/>
          <w:spacing w:val="0"/>
          <w:sz w:val="24"/>
          <w:szCs w:val="24"/>
        </w:rPr>
        <w:t>Apel</w:t>
      </w:r>
      <w:proofErr w:type="spellEnd"/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proofErr w:type="gramStart"/>
      <w:r w:rsidRPr="008B639E">
        <w:rPr>
          <w:rFonts w:ascii="Times New Roman" w:hAnsi="Times New Roman" w:cs="Times New Roman"/>
          <w:spacing w:val="0"/>
          <w:sz w:val="24"/>
          <w:szCs w:val="24"/>
        </w:rPr>
        <w:t>Cível  1.0145.15.037295</w:t>
      </w:r>
      <w:proofErr w:type="gramEnd"/>
      <w:r w:rsidRPr="008B639E">
        <w:rPr>
          <w:rFonts w:ascii="Times New Roman" w:hAnsi="Times New Roman" w:cs="Times New Roman"/>
          <w:spacing w:val="0"/>
          <w:sz w:val="24"/>
          <w:szCs w:val="24"/>
        </w:rPr>
        <w:t>-4/001, Rel. Des. José Américo Martins da Costa, DJ 10.07.2018]</w:t>
      </w:r>
    </w:p>
    <w:p w14:paraId="1D40D86A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BBB1D58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A inovação recursal - caracterizada pela suscitação de tese, pela primeira vez, em instância revisora - é vedada pelo ordenamento jurídico pátrio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 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[TJMG, </w:t>
      </w:r>
      <w:proofErr w:type="spellStart"/>
      <w:r w:rsidRPr="008B639E">
        <w:rPr>
          <w:rFonts w:ascii="Times New Roman" w:hAnsi="Times New Roman" w:cs="Times New Roman"/>
          <w:spacing w:val="0"/>
          <w:sz w:val="24"/>
          <w:szCs w:val="24"/>
        </w:rPr>
        <w:t>Apel</w:t>
      </w:r>
      <w:proofErr w:type="spellEnd"/>
      <w:r w:rsidRPr="008B639E">
        <w:rPr>
          <w:rFonts w:ascii="Times New Roman" w:hAnsi="Times New Roman" w:cs="Times New Roman"/>
          <w:spacing w:val="0"/>
          <w:sz w:val="24"/>
          <w:szCs w:val="24"/>
        </w:rPr>
        <w:t>. Cível 1.0702.15.045665-6/001, Rel. Des. Convocado Octávio de Almeida Neves, DJ 16.03.2018]</w:t>
      </w:r>
    </w:p>
    <w:p w14:paraId="346193B5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E6C5F52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Não havendo comprovação na peça recursal de que o recorrente deixou de suscitar questões de fato por motivo de força maior, estas não devem ser analisadas pelo juízo ad quem, ao qual é vedado manifestar-se sobre matéria não apreciada pelo magistrado singular, sob pena de supressão de instância. 2. Recuso não conhecido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 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[TJMG, </w:t>
      </w:r>
      <w:proofErr w:type="spellStart"/>
      <w:r w:rsidRPr="008B639E">
        <w:rPr>
          <w:rFonts w:ascii="Times New Roman" w:hAnsi="Times New Roman" w:cs="Times New Roman"/>
          <w:spacing w:val="0"/>
          <w:sz w:val="24"/>
          <w:szCs w:val="24"/>
        </w:rPr>
        <w:t>Apel</w:t>
      </w:r>
      <w:proofErr w:type="spellEnd"/>
      <w:r w:rsidRPr="008B639E">
        <w:rPr>
          <w:rFonts w:ascii="Times New Roman" w:hAnsi="Times New Roman" w:cs="Times New Roman"/>
          <w:spacing w:val="0"/>
          <w:sz w:val="24"/>
          <w:szCs w:val="24"/>
        </w:rPr>
        <w:t>. Cível 1.0240.13.002666-1/001, Rel. Des. José Américo Martins da Costa , DJ 18.08.2017]</w:t>
      </w:r>
    </w:p>
    <w:p w14:paraId="3E919B17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2F79413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As questões que não foram oportunamente suscitadas e discutidas em primeira instância não podem ser apreciadas pelo Tribunal, diante da vedação de inovação recursal extraída do ordenamento jurídico pátrio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14:paraId="1EF88B20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[TJMG, </w:t>
      </w:r>
      <w:proofErr w:type="spellStart"/>
      <w:r w:rsidRPr="008B639E">
        <w:rPr>
          <w:rFonts w:ascii="Times New Roman" w:hAnsi="Times New Roman" w:cs="Times New Roman"/>
          <w:spacing w:val="0"/>
          <w:sz w:val="24"/>
          <w:szCs w:val="24"/>
        </w:rPr>
        <w:t>Apel</w:t>
      </w:r>
      <w:proofErr w:type="spellEnd"/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. Cível 1.0620.14.002886-6/002, Rel. Des. </w:t>
      </w:r>
      <w:proofErr w:type="spellStart"/>
      <w:r w:rsidRPr="008B639E">
        <w:rPr>
          <w:rFonts w:ascii="Times New Roman" w:hAnsi="Times New Roman" w:cs="Times New Roman"/>
          <w:spacing w:val="0"/>
          <w:sz w:val="24"/>
          <w:szCs w:val="24"/>
        </w:rPr>
        <w:t>Claret</w:t>
      </w:r>
      <w:proofErr w:type="spellEnd"/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 de Moraes, DJ 24.02.2017]</w:t>
      </w:r>
    </w:p>
    <w:p w14:paraId="3FFE0598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F297030" w14:textId="77777777" w:rsid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16.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Vale destacar por sua importância, que o apelante nem ao menos pede a reforma da v. sentença no que diz respeito ao “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 xml:space="preserve">home </w:t>
      </w:r>
      <w:proofErr w:type="spellStart"/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care</w:t>
      </w:r>
      <w:proofErr w:type="spellEnd"/>
      <w:r w:rsidRPr="008B639E">
        <w:rPr>
          <w:rFonts w:ascii="Times New Roman" w:hAnsi="Times New Roman" w:cs="Times New Roman"/>
          <w:spacing w:val="0"/>
          <w:sz w:val="24"/>
          <w:szCs w:val="24"/>
        </w:rPr>
        <w:t>”, como se depreende do tópico “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IV- DOS PEDIDOS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” às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 da apelação, 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 xml:space="preserve">in </w:t>
      </w:r>
      <w:proofErr w:type="spellStart"/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expressis</w:t>
      </w:r>
      <w:proofErr w:type="spellEnd"/>
      <w:r w:rsidRPr="008B639E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43C19E5B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5E4D662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 “...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que a Recorrente não está obrigada a suportar os custos de atendimento médico realizado em Hospital não credenciado, além de afastar a indenização moral imposta, julgando assim ao final improcedentes os pedidos formulados na petição inicial; (</w:t>
      </w:r>
      <w:proofErr w:type="spellStart"/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ii</w:t>
      </w:r>
      <w:proofErr w:type="spellEnd"/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 xml:space="preserve">) Alternativamente na 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 xml:space="preserve">hipótese de manutenção da obrigação seja a mesma limitada a tabela própria da 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[sic- vide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]</w:t>
      </w:r>
    </w:p>
    <w:p w14:paraId="670158D2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9B96DCB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II-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PEDIDO</w:t>
      </w:r>
    </w:p>
    <w:p w14:paraId="19B5E81B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29601BD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17. </w:t>
      </w:r>
      <w:proofErr w:type="spellStart"/>
      <w:r w:rsidRPr="008B639E">
        <w:rPr>
          <w:rFonts w:ascii="Times New Roman" w:hAnsi="Times New Roman" w:cs="Times New Roman"/>
          <w:b/>
          <w:i/>
          <w:spacing w:val="0"/>
          <w:sz w:val="24"/>
          <w:szCs w:val="24"/>
        </w:rPr>
        <w:t>Ex</w:t>
      </w:r>
      <w:proofErr w:type="spellEnd"/>
      <w:r w:rsidRPr="008B639E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positis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, há de ser suscitada de ofício pelo eminente relator a preliminar de NÃO CONHECIMENTO PARCIAL DO RECURSO POR INOVAÇÃO RECURSAL QUANTO AO “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REGISTRO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” NO BOJO DA APELAÇÃO às </w:t>
      </w:r>
      <w:proofErr w:type="gramStart"/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fls. 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  <w:proofErr w:type="gramEnd"/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 [nem constou no pedido específico de reforma de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 xml:space="preserve">] DA AUSÊNCIA DE COBERTURA CONTRATUAL DE </w:t>
      </w:r>
      <w:r w:rsidRPr="008B639E">
        <w:rPr>
          <w:rFonts w:ascii="Times New Roman" w:hAnsi="Times New Roman" w:cs="Times New Roman"/>
          <w:i/>
          <w:spacing w:val="0"/>
          <w:sz w:val="24"/>
          <w:szCs w:val="24"/>
        </w:rPr>
        <w:t>HOME CARE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7FCD96C2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D1D8E49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18. </w:t>
      </w:r>
      <w:r w:rsidRPr="008B639E">
        <w:rPr>
          <w:rFonts w:ascii="Times New Roman" w:hAnsi="Times New Roman" w:cs="Times New Roman"/>
          <w:spacing w:val="0"/>
          <w:sz w:val="24"/>
          <w:szCs w:val="24"/>
        </w:rPr>
        <w:t>Na oportunidade, reitera o integral DESPROVIMENTO DA APELAÇÃO.</w:t>
      </w:r>
    </w:p>
    <w:p w14:paraId="41E83919" w14:textId="77777777" w:rsidR="008B639E" w:rsidRPr="008B639E" w:rsidRDefault="008B639E" w:rsidP="001C10A2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4E33EDD" w14:textId="77777777" w:rsidR="008B639E" w:rsidRPr="008B639E" w:rsidRDefault="008B639E" w:rsidP="001C10A2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8B639E"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14:paraId="1CEF6267" w14:textId="77777777" w:rsidR="006B3321" w:rsidRDefault="008B639E" w:rsidP="001C10A2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14:paraId="269ED326" w14:textId="77777777" w:rsidR="008B639E" w:rsidRPr="008B639E" w:rsidRDefault="008B639E" w:rsidP="001C10A2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sectPr w:rsidR="008B639E" w:rsidRPr="008B639E" w:rsidSect="001C10A2">
      <w:pgSz w:w="11906" w:h="16838"/>
      <w:pgMar w:top="1418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3CBF0" w14:textId="77777777" w:rsidR="003C65D5" w:rsidRDefault="003C65D5" w:rsidP="008B639E">
      <w:r>
        <w:separator/>
      </w:r>
    </w:p>
  </w:endnote>
  <w:endnote w:type="continuationSeparator" w:id="0">
    <w:p w14:paraId="26794306" w14:textId="77777777" w:rsidR="003C65D5" w:rsidRDefault="003C65D5" w:rsidP="008B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5227A" w14:textId="77777777" w:rsidR="003C65D5" w:rsidRDefault="003C65D5" w:rsidP="008B639E">
      <w:r>
        <w:separator/>
      </w:r>
    </w:p>
  </w:footnote>
  <w:footnote w:type="continuationSeparator" w:id="0">
    <w:p w14:paraId="3250C56A" w14:textId="77777777" w:rsidR="003C65D5" w:rsidRDefault="003C65D5" w:rsidP="008B639E">
      <w:r>
        <w:continuationSeparator/>
      </w:r>
    </w:p>
  </w:footnote>
  <w:footnote w:id="1">
    <w:p w14:paraId="36966696" w14:textId="77777777" w:rsidR="008B639E" w:rsidRPr="009C747A" w:rsidRDefault="008B639E" w:rsidP="009C747A">
      <w:pPr>
        <w:pStyle w:val="Textodenotaderodap"/>
        <w:ind w:left="0" w:right="-568"/>
        <w:rPr>
          <w:rFonts w:ascii="Times New Roman" w:hAnsi="Times New Roman" w:cs="Times New Roman"/>
          <w:spacing w:val="0"/>
        </w:rPr>
      </w:pPr>
      <w:r w:rsidRPr="009C747A">
        <w:rPr>
          <w:rStyle w:val="Refdenotaderodap"/>
          <w:rFonts w:ascii="Times New Roman" w:hAnsi="Times New Roman" w:cs="Times New Roman"/>
          <w:spacing w:val="0"/>
        </w:rPr>
        <w:footnoteRef/>
      </w:r>
      <w:r w:rsidRPr="009C747A">
        <w:rPr>
          <w:rFonts w:ascii="Times New Roman" w:hAnsi="Times New Roman" w:cs="Times New Roman"/>
          <w:spacing w:val="0"/>
        </w:rPr>
        <w:t xml:space="preserve"> CPC/73. art. 162. Os atos do juiz consistirão em sentenças, decisões interlocutórias e despachos (...) § 2º. Decisão interlocutória é o ato pelo qual o juiz, no curso do processo, resolve questão incidente. (...).</w:t>
      </w:r>
    </w:p>
    <w:p w14:paraId="42EA66AD" w14:textId="77777777" w:rsidR="008B639E" w:rsidRPr="009C747A" w:rsidRDefault="008B639E" w:rsidP="009C747A">
      <w:pPr>
        <w:pStyle w:val="Textodenotaderodap"/>
        <w:ind w:left="0" w:right="-568"/>
        <w:rPr>
          <w:rFonts w:ascii="Times New Roman" w:hAnsi="Times New Roman" w:cs="Times New Roman"/>
          <w:spacing w:val="0"/>
        </w:rPr>
      </w:pPr>
      <w:r w:rsidRPr="009C747A">
        <w:rPr>
          <w:rFonts w:ascii="Times New Roman" w:hAnsi="Times New Roman" w:cs="Times New Roman"/>
          <w:spacing w:val="0"/>
        </w:rPr>
        <w:t>CPC/73. art. 473. É defeso à parte discutir, no curso do processo, as questões já decididas, a cujo respeito se operou a preclusão.</w:t>
      </w:r>
    </w:p>
    <w:p w14:paraId="3571E10D" w14:textId="77777777" w:rsidR="008B639E" w:rsidRPr="009C747A" w:rsidRDefault="008B639E" w:rsidP="009C747A">
      <w:pPr>
        <w:pStyle w:val="Textodenotaderodap"/>
        <w:ind w:left="0" w:right="-568"/>
        <w:rPr>
          <w:rFonts w:ascii="Times New Roman" w:hAnsi="Times New Roman" w:cs="Times New Roman"/>
          <w:spacing w:val="0"/>
        </w:rPr>
      </w:pPr>
      <w:r w:rsidRPr="009C747A">
        <w:rPr>
          <w:rFonts w:ascii="Times New Roman" w:hAnsi="Times New Roman" w:cs="Times New Roman"/>
          <w:spacing w:val="0"/>
        </w:rPr>
        <w:t>CPC/73, art. 522. Das decisões interlocutórias caberá agravo, no prazo de 10 (dez) dias ....</w:t>
      </w:r>
    </w:p>
  </w:footnote>
  <w:footnote w:id="2">
    <w:p w14:paraId="6CD38045" w14:textId="77777777" w:rsidR="008B639E" w:rsidRPr="009C747A" w:rsidRDefault="008B639E" w:rsidP="009C747A">
      <w:pPr>
        <w:pStyle w:val="Textodenotaderodap"/>
        <w:ind w:left="0" w:right="-568"/>
        <w:rPr>
          <w:rFonts w:ascii="Times New Roman" w:hAnsi="Times New Roman" w:cs="Times New Roman"/>
          <w:spacing w:val="0"/>
        </w:rPr>
      </w:pPr>
      <w:r w:rsidRPr="009C747A">
        <w:rPr>
          <w:rStyle w:val="Refdenotaderodap"/>
          <w:rFonts w:ascii="Times New Roman" w:hAnsi="Times New Roman" w:cs="Times New Roman"/>
          <w:spacing w:val="0"/>
        </w:rPr>
        <w:footnoteRef/>
      </w:r>
      <w:r w:rsidRPr="009C747A">
        <w:rPr>
          <w:rFonts w:ascii="Times New Roman" w:hAnsi="Times New Roman" w:cs="Times New Roman"/>
          <w:spacing w:val="0"/>
        </w:rPr>
        <w:t xml:space="preserve"> CPC/73, art. 273. (...) § 7º. Se o autor, a título de antecipação de tutela, requerer providência de natureza cautelar, poderá o juiz, quando presentes os respectivos pressupostos, deferir a medida cautelar em caráter incidental do processo ajuizado.</w:t>
      </w:r>
    </w:p>
  </w:footnote>
  <w:footnote w:id="3">
    <w:p w14:paraId="08ECBB06" w14:textId="77777777" w:rsidR="009C747A" w:rsidRPr="009C747A" w:rsidRDefault="009C747A" w:rsidP="009C747A">
      <w:pPr>
        <w:pStyle w:val="Textodenotaderodap"/>
        <w:ind w:left="0" w:right="-568"/>
        <w:rPr>
          <w:rFonts w:ascii="Times New Roman" w:hAnsi="Times New Roman" w:cs="Times New Roman"/>
          <w:spacing w:val="0"/>
        </w:rPr>
      </w:pPr>
      <w:r w:rsidRPr="009C747A">
        <w:rPr>
          <w:rStyle w:val="Refdenotaderodap"/>
          <w:rFonts w:ascii="Times New Roman" w:hAnsi="Times New Roman" w:cs="Times New Roman"/>
          <w:spacing w:val="0"/>
        </w:rPr>
        <w:footnoteRef/>
      </w:r>
      <w:r w:rsidRPr="009C747A">
        <w:rPr>
          <w:rFonts w:ascii="Times New Roman" w:hAnsi="Times New Roman" w:cs="Times New Roman"/>
          <w:spacing w:val="0"/>
        </w:rPr>
        <w:t xml:space="preserve"> Comentários ao Código de Processo Civil/ Nelson </w:t>
      </w:r>
      <w:proofErr w:type="gramStart"/>
      <w:r w:rsidRPr="009C747A">
        <w:rPr>
          <w:rFonts w:ascii="Times New Roman" w:hAnsi="Times New Roman" w:cs="Times New Roman"/>
          <w:spacing w:val="0"/>
        </w:rPr>
        <w:t>Nery  Junior</w:t>
      </w:r>
      <w:proofErr w:type="gramEnd"/>
      <w:r w:rsidRPr="009C747A">
        <w:rPr>
          <w:rFonts w:ascii="Times New Roman" w:hAnsi="Times New Roman" w:cs="Times New Roman"/>
          <w:spacing w:val="0"/>
        </w:rPr>
        <w:t>, Rosa Maria de Andrade Nery. São Paulo: Editora Revista dos Tribunais.2015, p.2.067.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39E"/>
    <w:rsid w:val="00182C57"/>
    <w:rsid w:val="001C10A2"/>
    <w:rsid w:val="003C65D5"/>
    <w:rsid w:val="00412898"/>
    <w:rsid w:val="00493654"/>
    <w:rsid w:val="004D2A7D"/>
    <w:rsid w:val="006B3321"/>
    <w:rsid w:val="006E3154"/>
    <w:rsid w:val="008B639E"/>
    <w:rsid w:val="009C747A"/>
    <w:rsid w:val="00BE6418"/>
    <w:rsid w:val="00C623E5"/>
    <w:rsid w:val="00D67D3B"/>
    <w:rsid w:val="00D8262C"/>
    <w:rsid w:val="00DE2E33"/>
    <w:rsid w:val="00E56B5D"/>
    <w:rsid w:val="00F21DE8"/>
    <w:rsid w:val="00F7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0F70"/>
  <w15:docId w15:val="{029F8CE0-334E-4B24-9FC9-BB23C8EB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8B639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B639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639E"/>
    <w:rPr>
      <w:vertAlign w:val="superscript"/>
    </w:rPr>
  </w:style>
  <w:style w:type="character" w:styleId="Forte">
    <w:name w:val="Strong"/>
    <w:uiPriority w:val="22"/>
    <w:qFormat/>
    <w:rsid w:val="00F73C04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F73C04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73C04"/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B6AF-F920-4CFC-BCEE-E63FA779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1283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10</cp:revision>
  <dcterms:created xsi:type="dcterms:W3CDTF">2020-07-09T20:58:00Z</dcterms:created>
  <dcterms:modified xsi:type="dcterms:W3CDTF">2020-08-28T00:42:00Z</dcterms:modified>
</cp:coreProperties>
</file>