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512" w14:textId="421266D9" w:rsidR="002854FE" w:rsidRDefault="002854FE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MODELO DE PETIÇÃO</w:t>
      </w:r>
    </w:p>
    <w:p w14:paraId="570057C4" w14:textId="570CF59A" w:rsidR="003E5DF1" w:rsidRPr="00804B49" w:rsidRDefault="003E5DF1" w:rsidP="003E5DF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AGRAVO DE INSTRUMENTO. SUBSTITUIÇÃO INVENTARIANTE.</w:t>
      </w:r>
    </w:p>
    <w:p w14:paraId="383A718F" w14:textId="77777777" w:rsidR="002854FE" w:rsidRPr="00804B49" w:rsidRDefault="002854FE" w:rsidP="00804B49">
      <w:pPr>
        <w:spacing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804B49">
        <w:rPr>
          <w:rFonts w:ascii="Arial Black" w:hAnsi="Arial Black" w:cs="Times New Roman"/>
          <w:sz w:val="24"/>
          <w:szCs w:val="24"/>
        </w:rPr>
        <w:t>Rénan Kfuri Lopes</w:t>
      </w:r>
    </w:p>
    <w:p w14:paraId="7F6B6855" w14:textId="2A812A24" w:rsid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Desembargador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Tribunal de Justiça do Estado de ...</w:t>
      </w:r>
    </w:p>
    <w:p w14:paraId="111DBCD2" w14:textId="0D31378E" w:rsidR="002854FE" w:rsidRPr="002854FE" w:rsidRDefault="00804B49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vêm, perante este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ínclito Tribunal, interpor o presente AGRAVO DE INSTRUMENTO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COM PEDIDO DE TUTELA ANTECIPADA, contra a decisão de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4FE" w:rsidRPr="002854FE">
        <w:rPr>
          <w:rFonts w:ascii="Times New Roman" w:hAnsi="Times New Roman" w:cs="Times New Roman"/>
          <w:sz w:val="24"/>
          <w:szCs w:val="24"/>
        </w:rPr>
        <w:t>d.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Num.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854FE" w:rsidRPr="002854FE">
        <w:rPr>
          <w:rFonts w:ascii="Times New Roman" w:hAnsi="Times New Roman" w:cs="Times New Roman"/>
          <w:sz w:val="24"/>
          <w:szCs w:val="24"/>
        </w:rPr>
        <w:t>, proferida nos autos da AÇÃO DE INVENTÁRIO</w:t>
      </w:r>
      <w:r w:rsidR="002854FE"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proposta por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2854FE" w:rsidRPr="002854FE">
        <w:rPr>
          <w:rFonts w:ascii="Times New Roman" w:hAnsi="Times New Roman" w:cs="Times New Roman"/>
          <w:sz w:val="24"/>
          <w:szCs w:val="24"/>
        </w:rPr>
        <w:t>, mediante as seguintes razões de fato e de direito.</w:t>
      </w:r>
    </w:p>
    <w:p w14:paraId="30150777" w14:textId="1BD25672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1. Considerando que são eletrônicos os autos do processo, dispensam-se as peças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referidas nos incisos I e II do caput do art. 1.017 do CPC, nos termos do § 5º do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dispositivo legal.</w:t>
      </w:r>
    </w:p>
    <w:p w14:paraId="4EF501C8" w14:textId="6B965724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2. As Agravantes deixam de efetuar o preparo recursal e pugnam pela concessão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benefícios da assistência judiciária gratuita para o processamento do presente recurso,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termos do art. 99 do CPC, considerando a insuficiência de recursos para pagar as custas,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despesas processuais e os honorários advocatícios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). Ademais, informam que </w:t>
      </w:r>
      <w:r w:rsidR="00804B49">
        <w:rPr>
          <w:rFonts w:ascii="Times New Roman" w:hAnsi="Times New Roman" w:cs="Times New Roman"/>
          <w:sz w:val="24"/>
          <w:szCs w:val="24"/>
        </w:rPr>
        <w:t xml:space="preserve">este </w:t>
      </w:r>
      <w:r w:rsidRPr="002854FE">
        <w:rPr>
          <w:rFonts w:ascii="Times New Roman" w:hAnsi="Times New Roman" w:cs="Times New Roman"/>
          <w:sz w:val="24"/>
          <w:szCs w:val="24"/>
        </w:rPr>
        <w:t>requerimento ainda não foi formulado em primeira instância, considerando que,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mencionado, somente tomaram conhecimento do presente feito no último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 juntarem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procuração nos autos.</w:t>
      </w:r>
    </w:p>
    <w:p w14:paraId="25E12F87" w14:textId="1ADD61D5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Isto posto, esperam e requerem seja o presente recurso recebido por este Egrégio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Tribunal de Justiça, deferindo, LIMINARMENTE, a antecipação de tutela recursal e, após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rito estabelecido pelo CPC e exame das razões anexas, seja-lhe dado integral provimento.</w:t>
      </w:r>
    </w:p>
    <w:p w14:paraId="4AE926D5" w14:textId="77777777" w:rsidR="002854FE" w:rsidRPr="002854FE" w:rsidRDefault="002854FE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736ED8A4" w14:textId="6893FBA7" w:rsid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02A198D" w14:textId="5E30117C" w:rsidR="00804B49" w:rsidRPr="002854FE" w:rsidRDefault="00804B49" w:rsidP="00804B4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6CD7A4D" w14:textId="73D9C53E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15A597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AGRAVO DE INSTRUMENTO</w:t>
      </w:r>
    </w:p>
    <w:p w14:paraId="6225F953" w14:textId="3053C22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VARA DE FAMÍLIA E SUCESSÕES DA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65DAC49C" w14:textId="3CE820E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PROCESSO Nº.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035EE5C6" w14:textId="1E6FFB8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AGRAVANTES: </w:t>
      </w:r>
      <w:r w:rsidR="00804B49">
        <w:rPr>
          <w:rFonts w:ascii="Times New Roman" w:hAnsi="Times New Roman" w:cs="Times New Roman"/>
          <w:sz w:val="24"/>
          <w:szCs w:val="24"/>
        </w:rPr>
        <w:t>..., ..., ...</w:t>
      </w:r>
    </w:p>
    <w:p w14:paraId="6AA186BD" w14:textId="252D938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AGRAVADO: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0A685AA3" w14:textId="3656BB28" w:rsidR="002854FE" w:rsidRPr="002854FE" w:rsidRDefault="002854FE" w:rsidP="00804B49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DOUTA CÂMARA,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EMÉRITOS JULGADORES,</w:t>
      </w:r>
    </w:p>
    <w:p w14:paraId="6069E379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I. DA TEMPESTIVIDADE</w:t>
      </w:r>
    </w:p>
    <w:p w14:paraId="3B81CE7A" w14:textId="5E31B0EF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1. As Agravantes tomaram ciência da decisão de </w:t>
      </w:r>
      <w:r w:rsidR="00804B49">
        <w:rPr>
          <w:rFonts w:ascii="Times New Roman" w:hAnsi="Times New Roman" w:cs="Times New Roman"/>
          <w:sz w:val="24"/>
          <w:szCs w:val="24"/>
        </w:rPr>
        <w:t xml:space="preserve">Id. n. </w:t>
      </w:r>
      <w:r w:rsidRPr="002854FE">
        <w:rPr>
          <w:rFonts w:ascii="Times New Roman" w:hAnsi="Times New Roman" w:cs="Times New Roman"/>
          <w:sz w:val="24"/>
          <w:szCs w:val="24"/>
        </w:rPr>
        <w:t xml:space="preserve">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ao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juntar procuração nos autos principais, conforme documento de </w:t>
      </w:r>
      <w:r w:rsidR="00804B49">
        <w:rPr>
          <w:rFonts w:ascii="Times New Roman" w:hAnsi="Times New Roman" w:cs="Times New Roman"/>
          <w:sz w:val="24"/>
          <w:szCs w:val="24"/>
        </w:rPr>
        <w:t>I</w:t>
      </w:r>
      <w:r w:rsidRPr="002854FE">
        <w:rPr>
          <w:rFonts w:ascii="Times New Roman" w:hAnsi="Times New Roman" w:cs="Times New Roman"/>
          <w:sz w:val="24"/>
          <w:szCs w:val="24"/>
        </w:rPr>
        <w:t xml:space="preserve">ds. </w:t>
      </w:r>
      <w:proofErr w:type="spellStart"/>
      <w:r w:rsidR="00804B49"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Start"/>
      <w:r w:rsidR="00804B49">
        <w:rPr>
          <w:rFonts w:ascii="Times New Roman" w:hAnsi="Times New Roman" w:cs="Times New Roman"/>
          <w:sz w:val="24"/>
          <w:szCs w:val="24"/>
        </w:rPr>
        <w:t xml:space="preserve">. </w:t>
      </w:r>
      <w:r w:rsidRPr="002854FE">
        <w:rPr>
          <w:rFonts w:ascii="Times New Roman" w:hAnsi="Times New Roman" w:cs="Times New Roman"/>
          <w:sz w:val="24"/>
          <w:szCs w:val="24"/>
        </w:rPr>
        <w:t xml:space="preserve">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36BC843D" w14:textId="1EB63994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2. Iniciando-se a contagem no dia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segunda-feira, tendo em vista o Feriado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Assunção de Nossa Senhora,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bem como a suspensão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expediente forense (Portaria Conjunta Nº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),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tem-se que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prazo de 15 dias úteis (art. 219 do CPC) para a interposição do presente recurso finda em</w:t>
      </w:r>
      <w:r w:rsidR="00804B49">
        <w:rPr>
          <w:rFonts w:ascii="Times New Roman" w:hAnsi="Times New Roman" w:cs="Times New Roman"/>
          <w:sz w:val="24"/>
          <w:szCs w:val="24"/>
        </w:rPr>
        <w:t xml:space="preserve"> 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data não ultrapassada pelas Agravantes</w:t>
      </w:r>
    </w:p>
    <w:p w14:paraId="7929D7FF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3. Portanto, indiscutível a tempestividade do presente recurso.</w:t>
      </w:r>
    </w:p>
    <w:p w14:paraId="03FC06E5" w14:textId="511BB10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II. DOS FATOS PRETÉRITOS NECESSÁRIOS À COMPREENSÃO DA LIDE – BREVE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SÍNTESE DO PROCESSADO.</w:t>
      </w:r>
    </w:p>
    <w:p w14:paraId="33989EC0" w14:textId="5E43BE28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4B49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804B49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2854FE">
        <w:rPr>
          <w:rFonts w:ascii="Times New Roman" w:hAnsi="Times New Roman" w:cs="Times New Roman"/>
          <w:sz w:val="24"/>
          <w:szCs w:val="24"/>
        </w:rPr>
        <w:t xml:space="preserve">, cumpre explicar que o presente Inventário é resultante do óbito do Sr.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na Comarca 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óbito juntada ao </w:t>
      </w:r>
      <w:r w:rsidR="00804B49">
        <w:rPr>
          <w:rFonts w:ascii="Times New Roman" w:hAnsi="Times New Roman" w:cs="Times New Roman"/>
          <w:sz w:val="24"/>
          <w:szCs w:val="24"/>
        </w:rPr>
        <w:t>Id. n. ..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20118AF0" w14:textId="214D9B5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5. O falecido era casado com a Sra.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), ora Agravante, sob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 regime de comunhão universal de bens, desde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conforme certidão 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casamento já colacionada aos presentes autos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2235DF12" w14:textId="6337C0C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6. Desta união advieram três filhos, sendo um deles,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falecido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 as outras duas filhas atualmente vivas, maiores e capazes, quais sejam: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também Agravantes (doc. </w:t>
      </w:r>
      <w:r w:rsidR="00804B49">
        <w:rPr>
          <w:rFonts w:ascii="Times New Roman" w:hAnsi="Times New Roman" w:cs="Times New Roman"/>
          <w:sz w:val="24"/>
          <w:szCs w:val="24"/>
        </w:rPr>
        <w:t>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5201343E" w14:textId="2335A3B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7. Além das duas filhas originárias do casamento que ainda estão vivas, ainda há 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existência de um quarto filho,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também maior e capaz,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fruto de um relacionamento do falecido com terceira pessoa. Importa destacar que a paternidade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de cujus em relação a este filho foi reconhecida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em sede de “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Ação de Investigação</w:t>
      </w:r>
      <w:r w:rsidR="00804B49" w:rsidRPr="00804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B49">
        <w:rPr>
          <w:rFonts w:ascii="Times New Roman" w:hAnsi="Times New Roman" w:cs="Times New Roman"/>
          <w:i/>
          <w:iCs/>
          <w:sz w:val="24"/>
          <w:szCs w:val="24"/>
        </w:rPr>
        <w:t>de Paternidade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de modo que o registro de nascimento deste foi alterado em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momento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que o sobrenome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adicionado ao prenome (</w:t>
      </w:r>
      <w:r w:rsidR="00804B49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).</w:t>
      </w:r>
    </w:p>
    <w:p w14:paraId="1E495A9C" w14:textId="14D7369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8. Tendo em vista 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um de seus filhos, 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Agravado, propôs a 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 xml:space="preserve">”, em 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 Na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(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) o Agravado formulou, dentre outros, os seguintes pedidos:</w:t>
      </w:r>
    </w:p>
    <w:p w14:paraId="7F25D594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a. Sua nomeação, de forma imediata, como Inventariante;</w:t>
      </w:r>
    </w:p>
    <w:p w14:paraId="1572541D" w14:textId="5A5B548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b. A quebra do sigilo bancário, com expedição de Ofício ao BACEN, para proceder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à pesquisa dos saldos bancários na data do óbito, sendo a busca realizada em nome do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falecido, do cônjuge supérstite e da sociedade empresária familiar 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</w:p>
    <w:p w14:paraId="0BF2E1C7" w14:textId="7D933F8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c. A quebra do sigilo fiscal, com expedição de Ofício à Receita Federal, para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obtenção das 05 (cinco) últimas declarações de imposto de renda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>, do cônjuge</w:t>
      </w:r>
      <w:r w:rsidR="00804B49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sobrevivente e da empresa “</w:t>
      </w:r>
      <w:r w:rsidR="00804B49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”.</w:t>
      </w:r>
    </w:p>
    <w:p w14:paraId="3A1C218F" w14:textId="57221DA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9. Em análise aos pedidos do ora Agravado, o d. Juízo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 quo </w:t>
      </w:r>
      <w:r w:rsidRPr="002854FE">
        <w:rPr>
          <w:rFonts w:ascii="Times New Roman" w:hAnsi="Times New Roman" w:cs="Times New Roman"/>
          <w:sz w:val="24"/>
          <w:szCs w:val="24"/>
        </w:rPr>
        <w:t>proferiu a r.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vergastada, de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na qual (i) nomeou o Requerente como Inventariante, bem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) deferiu o pedido de quebra de sigilo bancário e fiscal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empresária </w:t>
      </w:r>
      <w:proofErr w:type="gramStart"/>
      <w:r w:rsidR="00DE71D4">
        <w:rPr>
          <w:rFonts w:ascii="Times New Roman" w:hAnsi="Times New Roman" w:cs="Times New Roman"/>
          <w:sz w:val="24"/>
          <w:szCs w:val="24"/>
        </w:rPr>
        <w:t xml:space="preserve">..., </w:t>
      </w:r>
      <w:r w:rsidRPr="002854FE">
        <w:rPr>
          <w:rFonts w:ascii="Times New Roman" w:hAnsi="Times New Roman" w:cs="Times New Roman"/>
          <w:sz w:val="24"/>
          <w:szCs w:val="24"/>
        </w:rPr>
        <w:t xml:space="preserve"> determinando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as pesquisas aos sistemas conveniados.</w:t>
      </w:r>
    </w:p>
    <w:p w14:paraId="541B7454" w14:textId="03048922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10. Ocorre que, o d. Juízo primevo, ao nomear o Requerente, ora Agravado,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o fez em total inobservância ao que prevê a sistemática do Código de Processo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Civil quanto à ordem legal para a nomeação de inventariante, bem como o que dispõe a doutrina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jurisprudência acerca da quebra do sigilo fiscal e bancário de terceiros estranhos à relação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processual, conforme será cuidadosamente delineado neste recurso.</w:t>
      </w:r>
    </w:p>
    <w:p w14:paraId="193BD6BF" w14:textId="5131FAB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11. Por estas razões, ante o evidente equívoco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quanto aos pontos mencionados,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não restou outra alternativa às Agravantes senão a interposição do presente recurso, por ser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imperativa e urgente a reforma da decisão vergastada.</w:t>
      </w:r>
    </w:p>
    <w:p w14:paraId="27AA26BE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III. RAZÕES DO PEDIDO DE REFORMA DA DECISÃO</w:t>
      </w:r>
    </w:p>
    <w:p w14:paraId="07C3BAB9" w14:textId="5349EB1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12. Nos termos a seguir expostos, as Agravantes pretendem a reforma da decisão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objurgada, proferida pelo d. Juízo de primeiro grau, com o objetivo de que: (i) seja substituída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sendo destituído o atual Inventariante, ora Agravado, e nomeada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o cônjuge supérstite,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ora Agravante, que conviveu com 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por 43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>(quarenta e três) anos, até a data do óbito, e que também se encontra na posse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dos bens do espólio, conforme determina o diploma processual civil;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) seja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cancelada a determinação de pesquisas bancárias e fiscais em nome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familiar “</w:t>
      </w:r>
      <w:r w:rsidR="00DE71D4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tão drásticas, sobretudo relacionadas a terceira estranha lide.</w:t>
      </w:r>
    </w:p>
    <w:p w14:paraId="7ADF0EF0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III.1. DA IMPERATIVA NECESSIDADE DE SUBSTITUIÇÃO DO INVENTARIANTE –</w:t>
      </w:r>
    </w:p>
    <w:p w14:paraId="5A3279A0" w14:textId="769EF09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INOBSERVÂNCIA DA ORDEM DE NOMEAÇÃO PREVISTA NO ART. 617 DO CÓDIGO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PROCESSO CIVIL – DA IMPRESCINDÍVEL DESTITUIÇÃO DO FILHO, ATUAL</w:t>
      </w:r>
    </w:p>
    <w:p w14:paraId="4AD79D88" w14:textId="4809BEF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INVENTARIANTE, E NOMEAÇÃO DO CÔNJUGE SOBREVIVENTE, QUE SE ENCONTRA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POSSE E ADMINISTRAÇÃO DOS BENS – DA URGENTE REFORMA DO DECISUM</w:t>
      </w:r>
    </w:p>
    <w:p w14:paraId="0602E9FC" w14:textId="30D06D5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13. Em virtude do falecimento do Sr.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um de seus filhos, o ora Agravado, propôs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presente “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Ação de Inventário</w:t>
      </w:r>
      <w:r w:rsidRPr="002854FE">
        <w:rPr>
          <w:rFonts w:ascii="Times New Roman" w:hAnsi="Times New Roman" w:cs="Times New Roman"/>
          <w:sz w:val="24"/>
          <w:szCs w:val="24"/>
        </w:rPr>
        <w:t>”, requerendo, dentre outros pedidos, que fosse nomeado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consoante já mencionado nesta peça.</w:t>
      </w:r>
    </w:p>
    <w:p w14:paraId="6E320986" w14:textId="698B085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14. Em sua peça vestibular - um tanto quanto confusa e superficial - o Agravado usou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 jurídico para seu pedido o art. 5º, XXX, da Constituição da República, que dispõe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acerca do direito à herança.</w:t>
      </w:r>
    </w:p>
    <w:p w14:paraId="66710999" w14:textId="0197CB6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15. Em análise ao pedido formulado pelo então Requerente, o d. Juízo a quo o nomeou como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sem o devido cuidado e em desatenção à sistemática processual civil acerca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inventariança,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possivelmente por ter sido induzido a erro pelo que foi dito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petição inicial pelo Agravado, que trouxe aos autos informações distorcidas e incondizentes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realidade, razão pela qual merece reforma a decisão vergastada, consoante se explicará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abaixo.</w:t>
      </w:r>
    </w:p>
    <w:p w14:paraId="6B08B655" w14:textId="5618C13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16. O Código Civil, em seu art. 1.784, prevê que com a morte da pessoa natural, seus bens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transmitem-se aos sucessores legítimos e testamentários, por meio do fenômeno jurídico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conhecido por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saisine</w:t>
      </w:r>
      <w:r w:rsidRPr="002854FE">
        <w:rPr>
          <w:rFonts w:ascii="Times New Roman" w:hAnsi="Times New Roman" w:cs="Times New Roman"/>
          <w:sz w:val="24"/>
          <w:szCs w:val="24"/>
        </w:rPr>
        <w:t>, de sorte que, constituindo-se o patrimônio do de cujus uma universalidade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de bens, faz-se necessária a definição do que exatamente o compõe, além da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individualização do que cabe aos sucessores.</w:t>
      </w:r>
    </w:p>
    <w:p w14:paraId="0C3E47ED" w14:textId="43F8072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17. Dito isso, tem-se que nos processos de inventário e partilha torna-se necessária a figura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um auxiliar especial do juízo, que administre o acervo hereditário e represente o espólio, em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juízo e fora dele, até que se verifique a partilha, tratando-se </w:t>
      </w:r>
      <w:r w:rsidR="00DE71D4">
        <w:rPr>
          <w:rFonts w:ascii="Times New Roman" w:hAnsi="Times New Roman" w:cs="Times New Roman"/>
          <w:sz w:val="24"/>
          <w:szCs w:val="24"/>
        </w:rPr>
        <w:t>referida</w:t>
      </w:r>
      <w:r w:rsidRPr="002854FE">
        <w:rPr>
          <w:rFonts w:ascii="Times New Roman" w:hAnsi="Times New Roman" w:cs="Times New Roman"/>
          <w:sz w:val="24"/>
          <w:szCs w:val="24"/>
        </w:rPr>
        <w:t xml:space="preserve"> pessoa do Inventariante,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exerce um múnus público.</w:t>
      </w:r>
    </w:p>
    <w:p w14:paraId="1C3E2036" w14:textId="1AE9278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18. No tocante ao assunto do inventário e da partilha, dispõe o art. 615,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854FE">
        <w:rPr>
          <w:rFonts w:ascii="Times New Roman" w:hAnsi="Times New Roman" w:cs="Times New Roman"/>
          <w:sz w:val="24"/>
          <w:szCs w:val="24"/>
        </w:rPr>
        <w:t>, do Código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Processo Civil</w:t>
      </w:r>
      <w:r w:rsidR="00DE71D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854FE">
        <w:rPr>
          <w:rFonts w:ascii="Times New Roman" w:hAnsi="Times New Roman" w:cs="Times New Roman"/>
          <w:sz w:val="24"/>
          <w:szCs w:val="24"/>
        </w:rPr>
        <w:t xml:space="preserve"> que, uma vez aberta a sucessão, caberá à pessoa que estiver na posse e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administração do espólio a legitimidade para requerer o Inventário.</w:t>
      </w:r>
    </w:p>
    <w:p w14:paraId="20A361B0" w14:textId="2CAF2A15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19. Ainda sobre a legitimidade para ser inventariante, é cediço que a inventariança legítima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recai sobre um dos sujeitos previstos em lei, sendo que neste caso existe uma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a ser seguida pelo juiz, nos termos do que prevê o art. 617 do Código Civil,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senão veja-se:</w:t>
      </w:r>
    </w:p>
    <w:p w14:paraId="36E76E16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Art. 617. O juiz nomeará inventariante na seguinte ordem:</w:t>
      </w:r>
    </w:p>
    <w:p w14:paraId="5DD2BECD" w14:textId="0A642C06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 - </w:t>
      </w:r>
      <w:proofErr w:type="gram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cônjuge ou companheiro sobrevivente, desde que estivesse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convivendo com o outro ao tempo da morte deste;</w:t>
      </w:r>
    </w:p>
    <w:p w14:paraId="20CABE2A" w14:textId="77507A84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herdeiro que se achar na posse e na administração do espólio, se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não houver cônjuge ou companheiro sobrevivente ou se estes não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puderem ser nomeados;</w:t>
      </w:r>
    </w:p>
    <w:p w14:paraId="76434369" w14:textId="6EB44751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III - qualquer herdeiro, quando nenhum deles estiver na posse e na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 espólio;</w:t>
      </w:r>
    </w:p>
    <w:p w14:paraId="0D7DF920" w14:textId="77777777" w:rsidR="002854FE" w:rsidRPr="00DE71D4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D4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3B989884" w14:textId="0A41FE0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20. Nessa ordem de ideias, infere-se que o diploma processual civil brasileiro preleciona que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 juiz, ao deparar-se com processo de inventário, necessitará observar determinada ordem de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nomeação do inventariante, sendo o cônjuge ou companheiro sobrevivente, que convivia com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à época do óbito, a primeira pessoa constante na linha de nomeação do rol taxativo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referido dispositivo.</w:t>
      </w:r>
    </w:p>
    <w:p w14:paraId="125C5A84" w14:textId="110CF96E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21. Nesse sentido, a simples leitura do art. 617 do CPC permite que se chegue à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conclusão de que a nomeação como inventariante da Sra. </w:t>
      </w:r>
      <w:r w:rsidR="00DE71D4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, viúva do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>, com quem conviveu por mais de 40 (quarenta) anos, até o momento do falecimento</w:t>
      </w:r>
      <w:r w:rsidR="00DE71D4">
        <w:rPr>
          <w:rFonts w:ascii="Times New Roman" w:hAnsi="Times New Roman" w:cs="Times New Roman"/>
          <w:sz w:val="24"/>
          <w:szCs w:val="24"/>
        </w:rPr>
        <w:t>.</w:t>
      </w:r>
    </w:p>
    <w:p w14:paraId="66B5CD98" w14:textId="61165349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22. Ocorre que, conforme adiantado neste recurso, o d. Juízo primevo, instado a nomear 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deixou de observar a ordem legal para a nomeação, tendo indicado,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DE71D4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71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de forma equivocada, o ora Agravado para tal função.</w:t>
      </w:r>
    </w:p>
    <w:p w14:paraId="68C5D7B0" w14:textId="4444E8B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23. O Agravado, herdeiro do falecido, além de não se enquadrar na primeira hipótese do rol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apresentado, sequer se encontra na posse e administração dos bens do espólio, o que faz com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sua nomeação como inventariante, de pronto, seja completamente desarrazoada 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destoante da lei, o que não se pode admitir! Inclusive, importa destacar que o próprio Agravado,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em manifestação que juntou aos autos sob o </w:t>
      </w:r>
      <w:r w:rsidR="00DE71D4">
        <w:rPr>
          <w:rFonts w:ascii="Times New Roman" w:hAnsi="Times New Roman" w:cs="Times New Roman"/>
          <w:sz w:val="24"/>
          <w:szCs w:val="24"/>
        </w:rPr>
        <w:t>Id. n. ...</w:t>
      </w:r>
      <w:r w:rsidRPr="002854FE">
        <w:rPr>
          <w:rFonts w:ascii="Times New Roman" w:hAnsi="Times New Roman" w:cs="Times New Roman"/>
          <w:sz w:val="24"/>
          <w:szCs w:val="24"/>
        </w:rPr>
        <w:t>, reconhece que não está na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posse de nenhum dos bens do espólio, estando em tal posição o cônjuge supérstite e suas duas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irmãs, ora Agravantes.</w:t>
      </w:r>
    </w:p>
    <w:p w14:paraId="335E4374" w14:textId="2C4678D5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24. Inclusive, é entendimento d</w:t>
      </w:r>
      <w:r w:rsidR="00DE71D4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 de Minas Gerais que terá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preferência na inventariança aquela pessoa que estiver na posse e administração dos bens do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espólio, em detrimento a outra que não estiver em tal posição, senão veja-se:</w:t>
      </w:r>
    </w:p>
    <w:p w14:paraId="63C585DA" w14:textId="166FC3BF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NOMEAÇÃO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 INVENTARIANTE - ART. 617, DO CPC - INOBSERVÂNCIA À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ORDEM LEGAL - SUBSTITUIÇÃO DEVIDA - RECURSO 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 teor do art. 617, do CPC, o herdeiro que se encontra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administração dos bens que compõem o acervo hereditário tem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preferência para o exercício da inventariança em relação aos demais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herdeiros. Portanto, a herdeira que se encontra na posse do único imóvel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inventariado deve ser nomeada como inventariante em substituição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àquela que não está na posse de nenhum bem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1.0145.14.006326-7/003, Relator Des. Afrânio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Vilela, 2ª CÂMARA CÍVEL, julgamento em 27/03/2018,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06/04/2018) (grifou-se).</w:t>
      </w:r>
    </w:p>
    <w:p w14:paraId="3DA6BF8F" w14:textId="58B5289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25. No mesmo sentido, acerca da temática da nomeação do inventariante, é pacífica a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jurisprudência deste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 quanto à necessidade de que o magistrado observe</w:t>
      </w:r>
      <w:r w:rsidR="00DE71D4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ordem legal de nomeação constante do art. 617 do Código de Processo Civil. Veja-se:</w:t>
      </w:r>
    </w:p>
    <w:p w14:paraId="56794CE0" w14:textId="2BA0147E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DO ART. 617 DO CPC/2015 -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INOBSERVÂNCIA - REFORMA DA DECISÃO AGRAVADA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PROVIMENTO DO RECURSO.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 ordem de preferência, taxativa, estabelecida pelo art. 617,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CPC, deve ser obedecida pelo magistrado na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Recurso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1.0172.09.022655-3/001, Relator Des. </w:t>
      </w:r>
      <w:r w:rsidR="002854FE"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Carlos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Levenhagen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, 5ª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21/03/2019,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26/03/2019). (grifou-se)</w:t>
      </w:r>
    </w:p>
    <w:p w14:paraId="62F467BB" w14:textId="5BC3E4FD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NOMEAÇÃO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 - ORDEM LEGAL - HERDEIRO NA POSSE 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ADMINISTRAÇÃO DO ESPÓLIO - NÃO COMPROVAÇÃO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HERDEIRO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NECESSÁRIO E TESTEMENTÁRIO - MANUTENAÇÃO DA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- RECURSO DESPROVIDO. 1. A nomeação do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inventariante, que, no exercício de seu encargo, possui uma série de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deveres legais que têm por fim garantir-lhe a confiança, o respeito e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credibilidade dos demais herdeiros, deve obedecer à ordem prevista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 artigo 617 do CPC. 2. Não demonstrado nos autos que a agravante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é herdeira do de cujus, tampouco que está na posse e na administração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do espólio, deve ser mantida a nomeação da agravada, herdeira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necessária e testamentária do autor da herança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1.0223.07.212944-6/001, Relator (a): Des. (a) Edilson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Olímpio Fernandes, 6ª CÂMARA CÍVEL, julgamento em 12/02/2019,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22/02/2019). (grifou-se)</w:t>
      </w:r>
    </w:p>
    <w:p w14:paraId="0AEEF89F" w14:textId="79F46186" w:rsidR="002854FE" w:rsidRPr="002854FE" w:rsidRDefault="00DE71D4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AGRAVO DE INSTRUMENTO - NOMEAÇÃO DE INVENTARIANTE -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ORDEM LEGAL FIXADA - REQUISITOS AUSENTES 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RECURSO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DESPROVIDO.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Conforme determina a lei processual civil, caberá ao magistrado a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nomeação de inventariante, devendo ser observada a ordem legal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estabelecida, não podendo decidir de forma discricionária.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- Assim, a nomeação recairá, em primeiro lugar, sobre o cônjuge ou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companheiro sobrevivente, desde que estivesse convivendo com o</w:t>
      </w:r>
      <w:r w:rsidRPr="00DE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DE71D4">
        <w:rPr>
          <w:rFonts w:ascii="Times New Roman" w:hAnsi="Times New Roman" w:cs="Times New Roman"/>
          <w:i/>
          <w:iCs/>
          <w:sz w:val="24"/>
          <w:szCs w:val="24"/>
        </w:rPr>
        <w:t>outro ao tempo da morte do "de cujus"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1.0074.14.006627-0/001, Relator 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José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Antonino</w:t>
      </w:r>
      <w:proofErr w:type="gram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Baía Borges, 3ª CÂMARA CÍVEL, julgamento em 28/05/2015,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15/06/2015). (grifou-se)</w:t>
      </w:r>
    </w:p>
    <w:p w14:paraId="70B5BAF4" w14:textId="7F06F6A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26. Ainda dentro desta temática, Nelson Nery Junior e Rosa Maria de Andrade Nery,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comentários ao referido dispositivo legal, prelecionam:</w:t>
      </w:r>
    </w:p>
    <w:p w14:paraId="21108BDE" w14:textId="540FD91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Ao juiz cabe nomear o inventariante e removê-lo (CPC 995). Não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pode decidir discricionariamente a respeito da nomeação 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inventariante, devendo se ater à ordem deste artigo, corrigindo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equívocos por acaso existentes quando da nomeação.</w:t>
      </w:r>
      <w:r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31DA19A6" w14:textId="17EE453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27. Neste contexto, comenta-se que, a 4ª Turma do Colendo Superior Tribunal de Justiça,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julgar o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 283.994/SP, consolidou seu entendimento no seguinte sentido:</w:t>
      </w:r>
    </w:p>
    <w:p w14:paraId="31112D61" w14:textId="7DEBADC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ordem de nomeação de inventariante insculpida no art. 990</w:t>
      </w:r>
      <w:r w:rsidRPr="00B3274C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CPC deve ser rigorosamente observada, excetuando-se as hipóteses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em que o magistrado tenha fundadas razões para desconsiderá-la, com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 fim de evitar tumultos processuais desnecessários ou mesmo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bens, como no caso, em face da patente litigiosidade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existente entre as partes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(STJ, 4.a Turma, REsp 283.994/SP, rel.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Cesar Asfor </w:t>
      </w:r>
      <w:proofErr w:type="spellStart"/>
      <w:proofErr w:type="gramStart"/>
      <w:r w:rsidR="002854FE" w:rsidRPr="002854FE">
        <w:rPr>
          <w:rFonts w:ascii="Times New Roman" w:hAnsi="Times New Roman" w:cs="Times New Roman"/>
          <w:sz w:val="24"/>
          <w:szCs w:val="24"/>
        </w:rPr>
        <w:t>Rocha,j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06.03.2001, Dj07.05.2001, p. 150). (grifou-se)</w:t>
      </w:r>
    </w:p>
    <w:p w14:paraId="160C1B59" w14:textId="3450CC6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28. Note-se que o referido entendimento do Superior Tribunal de Justiça destaca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magistrado somente poderá se furtar de observar o rol taxativo trazido pelo art. 617 do Código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 em situações excepcionais, nas quais, inclusive, deverá apresentar substancial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fundamentação.</w:t>
      </w:r>
    </w:p>
    <w:p w14:paraId="120BEBD1" w14:textId="6CD52E48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29. O ora Agravado, ao postular o requerimento de nomeação como inventariante, alegou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haveria suposta tentativa de ocultação de bens por parte das demais herdeiras e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cônjuge supérstite, ora Agravantes, razão pela qual a inventariança deveria ser a ele atribuída.</w:t>
      </w:r>
    </w:p>
    <w:p w14:paraId="68AE1634" w14:textId="3DB8F68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30. Prevê o art. 373, I, do Código de Processo Civil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854FE">
        <w:rPr>
          <w:rFonts w:ascii="Times New Roman" w:hAnsi="Times New Roman" w:cs="Times New Roman"/>
          <w:sz w:val="24"/>
          <w:szCs w:val="24"/>
        </w:rPr>
        <w:t xml:space="preserve"> que incumbe às partes o dever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de comprovar as alegações lançadas nos autos, até porque o fato alegado e não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provado é o mesmo que fato inexistente, conforme antiga máxima expressa no brocardo jurídico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et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probatio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quasi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allegatio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" (alegar e não provar é quase não alegar).</w:t>
      </w:r>
    </w:p>
    <w:p w14:paraId="67E8C4C8" w14:textId="3A61E6B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31. O Agravado, ao trazer à baila o argumento de ocultação de bens, se furtou do dever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comprovar, de alguma forma, a ocorrência de tal fato, em inobservância ao que que prevê o ônus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da prova do autor no processo civil.</w:t>
      </w:r>
    </w:p>
    <w:p w14:paraId="23B64C9C" w14:textId="634E231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32. Nessa ordem de ideias, conclui-se que, no caso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2854FE">
        <w:rPr>
          <w:rFonts w:ascii="Times New Roman" w:hAnsi="Times New Roman" w:cs="Times New Roman"/>
          <w:sz w:val="24"/>
          <w:szCs w:val="24"/>
        </w:rPr>
        <w:t>, não há qualquer razão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caráter excepcional que permita a inobservância da ordem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inventariante, mesmo porque o Agravado não trouxe aos autos, em sua peça inicial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duas laudas, qualquer fato que evidencie anormalidades capazes de propiciarem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fundadas razões para que o magistrado o nomeasse como inventariante a despeito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sistemática do Código de Processo Civil.</w:t>
      </w:r>
    </w:p>
    <w:p w14:paraId="15683E37" w14:textId="6421BBC4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33. Ante o exposto, tendo em vista a injustificada desatenção à ordem legal de nomeação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inventariante, prevista pelo art. 617 do Código de Processo Civil, por parte do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requer a imediata reforma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que seja substituída a inventariança, de modo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ser destituído o atual Inventariante, ora Agravado, que não está na posse dos bens,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sendo, ato contínuo, nomeada como Inventariante o cônjuge supérstite, Sra. 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uma vez que conviveu com o de cujus por 43 (quarenta e três)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anos, até a data do óbito, e que também se encontra na posse e administração dos bens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espólio, conforme determina o diploma processual civil.</w:t>
      </w:r>
    </w:p>
    <w:p w14:paraId="460F7DD3" w14:textId="126D462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III.2. DA AUSÊNCIA DE FUNDAMENTOS QUE JUSTIFIQUEM A QUEBRA DE SIGILO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BANCÁRIO E FISCAL DO DE CUJUS E DA PESSOA JURÍDICA – TERCEIRAS PESSOAS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NÃO INTEGRAM O PROCESSO – INOBSERVÂNCIA DO CONTRADITÓRIO E AMPLA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DEFESA - VIA ELEITA INADEQUADA – DA IMPERATIVA REFORMA DO DECISUM</w:t>
      </w:r>
    </w:p>
    <w:p w14:paraId="1CB5D045" w14:textId="5A3A2A0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34. Ao propor o presente Inventário, o Agravado requereu, em petição inicial, a quebra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sigilo bancário e fiscal do falecido e da empresa familiar “</w:t>
      </w:r>
      <w:r w:rsidR="00B3274C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.”, com expedição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 Ofício ao BACEN, para proceder à pesquisa dos saldos bancários na data do óbito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com expedição de Ofício à Receita Federal, para obtenção das 05 (cinco) últimas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declarações de imposto de renda das pessoas citadas.</w:t>
      </w:r>
    </w:p>
    <w:p w14:paraId="26347622" w14:textId="2157308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35. A fim de embasar medidas tão extremas, o Agravado usou como fundamento jurídico tão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somente o art. 5º, XXXIII, da Constituição da República, que trata do direito à informação,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limitando-se a fazer a transcrição de tal dispositivo legal.</w:t>
      </w:r>
    </w:p>
    <w:p w14:paraId="21177AD8" w14:textId="334CAF4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36. Em análise ao referido pedido, o d. Juízo a quo proferiu a decisão agravada, na qual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deferiu o pedido de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determinando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as respectivas pesquisas aos sistemas conveniados.</w:t>
      </w:r>
    </w:p>
    <w:p w14:paraId="6FC01E33" w14:textId="004B55AF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37. Ocorre que, novamente,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MM. Juiz de primeiro grau restou equivocado,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tendo deferido medidas tão drásticas quanto a quebra de sigilo bancário e fiscal de terceiras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pessoas, sem qualquer substrato fático ou jurídico para tanto, sob o inane fundamento de que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falecido era casado sob o regime de comunhão universal de bens.</w:t>
      </w:r>
    </w:p>
    <w:p w14:paraId="778DDEA5" w14:textId="04B789D9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38. Ora Exas., é evidente,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que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decisum</w:t>
      </w:r>
      <w:r w:rsidRPr="002854FE">
        <w:rPr>
          <w:rFonts w:ascii="Times New Roman" w:hAnsi="Times New Roman" w:cs="Times New Roman"/>
          <w:sz w:val="24"/>
          <w:szCs w:val="24"/>
        </w:rPr>
        <w:t xml:space="preserve"> merece reforma, consoante se demonstrará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adiante.</w:t>
      </w:r>
    </w:p>
    <w:p w14:paraId="73BEBEB7" w14:textId="1419DE0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imperioso ressaltar que o sigilo fiscal e bancário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>consubstancia-se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na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proteção da intimidade da pessoa, sendo o direito de inviolabilidade da intimidade uma garantia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individual fundamental estabelecida no art. 5º, X e XII, da Constituição Federal de 1988, a saber:</w:t>
      </w:r>
    </w:p>
    <w:p w14:paraId="0094997E" w14:textId="3875308B" w:rsidR="002854FE" w:rsidRPr="00B3274C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Art.5º. Todos são iguais perante a lei, sem distinção de 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qualquer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natureza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, garantindo-se aos brasileiros e aos estrangeiros residentes no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País a inviolabilidade do direito à vida, à liberdade, à igualdade,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segurança e à propriedade, nos termos seguintes:</w:t>
      </w:r>
    </w:p>
    <w:p w14:paraId="5FD12DD8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110BE4F3" w14:textId="67BC1063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X - </w:t>
      </w:r>
      <w:proofErr w:type="gram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são</w:t>
      </w:r>
      <w:proofErr w:type="gram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invioláveis a intimidade, a vida privada, a honra e a imagem das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pessoas, assegurado o direito a indenização pelo dano material ou moral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decorrente de sua violação.</w:t>
      </w:r>
    </w:p>
    <w:p w14:paraId="105AF7C0" w14:textId="77777777" w:rsidR="002854FE" w:rsidRPr="00B3274C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54BBA1C8" w14:textId="00C2953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3274C">
        <w:rPr>
          <w:rFonts w:ascii="Times New Roman" w:hAnsi="Times New Roman" w:cs="Times New Roman"/>
          <w:i/>
          <w:iCs/>
          <w:sz w:val="24"/>
          <w:szCs w:val="24"/>
        </w:rPr>
        <w:t>XII - é inviolável o sigilo da correspondência e das comunicações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telegráficas, de dados e das comunicações telefônicas, salvo, no último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caso, por ordem judicial, nas hipóteses e na forma que a lei estabelecer</w:t>
      </w:r>
      <w:r w:rsidR="00B3274C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para fins de investigação criminal ou instrução processual penal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  <w:r w:rsidR="00B3274C">
        <w:rPr>
          <w:rFonts w:ascii="Times New Roman" w:hAnsi="Times New Roman" w:cs="Times New Roman"/>
          <w:sz w:val="24"/>
          <w:szCs w:val="24"/>
        </w:rPr>
        <w:t>”</w:t>
      </w:r>
    </w:p>
    <w:p w14:paraId="4CEF1A75" w14:textId="3A7A4C0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40. No contexto da garantia de inviolabilidade do sigilo de dados, que tem proteção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constitucional, conforme se depreende do dispositivo retro, são protegidas a privacidade,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e a inviolabilidade do sigilo de dados das pessoas, físicas e jurídicas, incluindo-se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nesse rol o sigilo bancário e fiscal.</w:t>
      </w:r>
    </w:p>
    <w:p w14:paraId="391A4C1E" w14:textId="21B0427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41. Com isso, infere-se que a quebra do sigilo fiscal e bancário, direito individual das pessoas,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inclusive, jurídicas, porém não absoluto, somente deve ser autorizada em casos específicos,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se verifique relevante interesse da administração pública e quando restar demonstrada 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necessidade das informações solicitadas para o esclarecimento de questões submetidas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 Judiciário.</w:t>
      </w:r>
    </w:p>
    <w:p w14:paraId="0123EAB7" w14:textId="48C7805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42. Isto é, no ordenamento jurídico pátrio, a quebra do sigilo de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apresenta-se como uma medida excepcional, devendo ocorrer somente diante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fortes indicativos de cometimento de ato ilícito, justamente por implicar em violação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direito à privacidade da pessoa, garantido constitucionalmente, devendo ser indeferido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requerimento que não se enquadre em tais circunstâncias.</w:t>
      </w:r>
    </w:p>
    <w:p w14:paraId="6DF732CB" w14:textId="787631D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43. Neste sentido de entendimento, consolidou-se a jurisprudência d</w:t>
      </w:r>
      <w:r w:rsidR="00B3274C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Egrégio Tribunal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Justiça, senão veja-se:</w:t>
      </w:r>
    </w:p>
    <w:p w14:paraId="151BCB9D" w14:textId="38FFAC87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INVENTÁRIO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PRECLUSÃO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- NÃO CONFIGURADA - AUSÊNCIA FUNDAMENTAÇÃO DA DECISÃO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- INOCORRÊNCIA - FUNDAMENTAÇÃO CONCISA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INEXISTÊNCIA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BENS QUE DEVERIAM INTEGRAR O INVENTÁRIO -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BANCÁRIO E FISCAL - EXCEPCIONALIDADE DA MEDIDA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IMPOSSIBILIDADE NO CASO CONCRETO.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(...) Nos termos da jurisprudência do Superior Tribunal de Justiça e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Supremo Tribunal Federal, a quebra do sigilo bancário e fiscal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constitui-se medida excepcional, somente autorizada quando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presentes circunstâncias que denotem a existência de interesse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público relevante e indícios da ocorrência de prática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delituosa. Inexistindo indícios substanciosos que ensejam à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violação do sigilo bancário e fiscal, impossível se mostra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decretação da medida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1.0349.17.001516-9/001, Relator Des. Dárcio </w:t>
      </w:r>
      <w:proofErr w:type="spellStart"/>
      <w:r w:rsidR="002854FE" w:rsidRPr="002854FE">
        <w:rPr>
          <w:rFonts w:ascii="Times New Roman" w:hAnsi="Times New Roman" w:cs="Times New Roman"/>
          <w:sz w:val="24"/>
          <w:szCs w:val="24"/>
        </w:rPr>
        <w:t>Lopardi</w:t>
      </w:r>
      <w:proofErr w:type="spellEnd"/>
      <w:r w:rsidR="002854FE" w:rsidRPr="002854FE">
        <w:rPr>
          <w:rFonts w:ascii="Times New Roman" w:hAnsi="Times New Roman" w:cs="Times New Roman"/>
          <w:sz w:val="24"/>
          <w:szCs w:val="24"/>
        </w:rPr>
        <w:t xml:space="preserve"> Mendes, 4ª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18/07/0019,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19/07/2019) (grifou-se).</w:t>
      </w:r>
    </w:p>
    <w:p w14:paraId="503FC774" w14:textId="4CFDB40C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AGRAVO DE INSTRUMENTO - AÇÃO DE INVENTÁRIO - HERDEIRA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INDÍCIOS DE SONEGAÇÃO DE BENS - AUSÊNCIA - QUEBRA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SIGILO FISCAL - IMPOSSIBILIDADE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lastRenderedPageBreak/>
        <w:t>- RECURSO DESPROVIDO.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1) O sigilo de dados, aí incluídos os de natureza bancária, possui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relevância fundamental (art.5º, incisos X e XII, da CR/88), mas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constitui direito de natureza absoluta, sendo admitida a sua quebra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situações excepcionais, em que a obtenção dos dados seja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imprescindível ao esclarecimento de questões submetidas ao Poder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Judiciário. 2) Mostra-se correta a decisão que indefere o pedido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quebra de sigilo bancário de herdeira ante a ausência de indícios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sonegação de bens. 3)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1.0024.12.028476-5/006, Relator (a): Des. (a) 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Cristina da Cunha Peixoto, 8ª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03/09/0015, publicação da súmula em 10/09/2015) (grifou-se).</w:t>
      </w:r>
    </w:p>
    <w:p w14:paraId="19510253" w14:textId="678D42B3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APELAÇÃO CÍVEL - MEDIDA CAUTELAR DE EXIBIÇÃO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DOCUMENTOS - EXTRATOS BANCÁRIOS E DECLARAÇÃO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IMPOSTO DE RENDA - ALEGAÇÃO DE FRAUDE EM AVAL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- QUEBRA - MEDIDA EXCEPCIONAL -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Inexistindo indícios substanciosos que ensejam à violação do sigilo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bancário e fiscal do réu, garantido constitucionalmente no art. 5º,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inciso X, impossível se mostra a ordem de exibição dos documentos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pretendidos pelo autor. Recurso Não Provido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Apelação Cível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1.0106.10.004845-8/001, Relator (a): Des. (a) Nilo Lacerda, 12ª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CÂMARA CÍVEL, julgamento em 10/08/2011,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19/08/2011) (grifou-se).</w:t>
      </w:r>
    </w:p>
    <w:p w14:paraId="25BD9D44" w14:textId="11C263EF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44. Ademais, cumpre salientar que a 4ª turma do Colendo Superior Tribunal de Justiça já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consolidou seu entendimento no sentido de que, embora seja viável ao Poder Judiciário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determinar a quebra do sigilo fiscal de pessoa física ou jurídica no curso do processo, devido ao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interesse público, tal medida excepcional impõe requisitos que a justifiquem, sob pena de se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configurar arbitrária, senão veja-se:</w:t>
      </w:r>
    </w:p>
    <w:p w14:paraId="3DA7BDF4" w14:textId="35672E63" w:rsidR="002854FE" w:rsidRPr="002854FE" w:rsidRDefault="00B3274C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CIVIL E PROCESSUAL. ACÓRDÃO ESTADUAL. OMISSÃO NÃO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CONFIGURADA. AÇÃO ORDINÁRIA QUE BUSCA 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RECONHECIMENTO DO DIREITO DE PREFERÊNCIA À AQUISIÇÃO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COTAS DE SOCIEDADE COMERCIAL GESTORA DE "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SHOPPING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CENTER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". PEDIDO DE QUEBRA DE SIGILO FISCAL. DEFERIMENTO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PELAS INSTÂNCIAS ORDINÁRIAS. AUSÊNCIA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FUNDAMENTAÇÃO. ORDEM JUDICIAL CASSADA. CPC, ART. 165. I.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Não padece de omissão o acórdão estadual que aprecia as questões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essenciais ao deslinde da controvérsia, apenas trazendo conclusões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desfavoráveis à parte irresignada. II. Conquanto possível a quebra do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sigilo fiscal de pessoa física ou jurídica no curso do processo, em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homenagem ao preponderante interesse público, constitui requisito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essencial à higidez do ato judicial que a determina achar-se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amparado em fundamentação consistente, por se cuidar de medida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excepcional à regra geral da preservação da privacidade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preconizada no art. 5º, inciso X, da Carta Política. III. Caso em que a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decisão objurgada </w:t>
      </w:r>
      <w:proofErr w:type="gramStart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limitou-se</w:t>
      </w:r>
      <w:proofErr w:type="gramEnd"/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a justificar a determinação de expedição de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ofício à Receita Federal exclusivamente com base na prerrogativa judicial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de autonomia na colheita de provas, o que não tem o condão de afastar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a imprescindibilidade da fundamentação dos atos judiciais. IV. Recurso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B3274C">
        <w:rPr>
          <w:rFonts w:ascii="Times New Roman" w:hAnsi="Times New Roman" w:cs="Times New Roman"/>
          <w:i/>
          <w:iCs/>
          <w:sz w:val="24"/>
          <w:szCs w:val="24"/>
        </w:rPr>
        <w:t>especial conhecido e provido.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(grifou-se)</w:t>
      </w:r>
    </w:p>
    <w:p w14:paraId="587635BA" w14:textId="7063CD5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45. Contudo, da detida análise da petição inicial e dos poucos documentos com ela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colacionados, não é possível verificar a existência de qualquer prova robusta capaz de ensejar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suspeitas de irregularidades que, em tese, autorizariam a quebra do sigilo bancário e fiscal 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cujus e da empresa “</w:t>
      </w:r>
      <w:r w:rsidR="00B3274C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estando a decisão agravada em dissonância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lei e do que prevê a consolidada jurisprudência pátria.</w:t>
      </w:r>
    </w:p>
    <w:p w14:paraId="2D5FB41E" w14:textId="6459C78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46. Chama a atenção, ainda, o único fundamento utilizado pelo d. Juízo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para 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da quebra do sigilo bancário e fiscal aqui tratada, qual seja, o fato de que o falecido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era casado sob o regime da comunhão universal de bens.</w:t>
      </w:r>
    </w:p>
    <w:p w14:paraId="74A5C840" w14:textId="0AFE5869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47. Pelo sistema processual brasileiro, a questão do deferimento de uma determinada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depende de avaliação do Juiz, dentro do quadro probatório existente e da necessidade da prova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requerida, cabendo ao Magistrado da causa analisar o cabimento de prova requerida e deferir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ou não a sua produção, e fazer constar em sua manifestação as motivações do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convencimento.</w:t>
      </w:r>
    </w:p>
    <w:p w14:paraId="1CB9A641" w14:textId="3A84126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48. Contudo,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 fundamento apontado pelo MM. Juiz primevo, no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que se refere ao regime de bens adotado pelo falecido, não tem qualquer relação lógica capaz de verificar a quebra de sigilo bancário e fiscal do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empresa, não servindo, portanto,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fundamentação ao deferimento de medida tão extrema.</w:t>
      </w:r>
    </w:p>
    <w:p w14:paraId="4842B73E" w14:textId="3122F4B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49. Ao contrário, tudo indica que as medidas de quebra do sigilo bancário e fiscal,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foram deferidas pelo MM. Juiz primevo sem qualquer fundamentação da decisão judicial, em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sentido contrário à garantia constitucional prevista no art. 93, IX da Constituição Federal.</w:t>
      </w:r>
      <w:r w:rsidR="00B3274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14392662" w14:textId="504CEBA1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50. Tem-se, portanto, que no caso sub judice não estão presentes quaisquer lastros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probatórios nem tampouco fundamentação judicial que enseje medida tão invasiva quanto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do falecido e da pessoa jurídica, de modo que seu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em tal contexto acaba por ofender o direito fundamental de inviolabilidade da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intimidade garantido constitucionalmente no art. 5º, inciso X e XII.</w:t>
      </w:r>
    </w:p>
    <w:p w14:paraId="0416B1CD" w14:textId="205400B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51. Na oportunidade, destaque-se que, em que pese o argumento trazido aos autos pelo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qual seja, o direito à informação, utilizado com vistas a ver deferida a quebra de sigilo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pleiteada, é indene de dúvidas que referido direito constitucional não pode se sobrepor, </w:t>
      </w:r>
      <w:r w:rsidRPr="00B3274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3274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direito do falecido e da sociedade empresária de manterem suas informações bancárias 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fiscais em sigilo, visto que não há qualquer motivação para que tais dados sejam trazidos à baila.</w:t>
      </w:r>
    </w:p>
    <w:p w14:paraId="76AE5309" w14:textId="2DB2FFF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52. Some-se a isso o fato de que, em relação à quebra de sigilo bancário e fiscal da pessoa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o pedido apenas se justificaria no contexto de um incidente de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desconsideração inversa da personalidade jurídica, que além de ser medida excepcional, com</w:t>
      </w:r>
      <w:r w:rsidR="00B3274C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requisitos específicos, tem processamento próprio e deve observar a via adequada.</w:t>
      </w:r>
    </w:p>
    <w:p w14:paraId="18B47935" w14:textId="7777777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53. Todavia, o que se verifica no presente caso é que nada disso foi devidamente observado.</w:t>
      </w:r>
    </w:p>
    <w:p w14:paraId="026FB615" w14:textId="2E0DA01E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54. Primeiramente, ressalte-se que o fenômeno da desconsideração inversa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 possui requisitos indispensáveis para seu deferimento, nos termos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artigo 50 do Código Civil,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1AF4CDA8" w14:textId="0748615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50. Em caso de abuso da personalidade jurídica, caracterizado pelo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desvio de finalidade ou pela confusão patrimonial, pode o juiz,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públicos, e fundamentadas todas as decisões, sob pena de nulidade, podendo a lei limitar a presença, em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determinados atos, às próprias partes e a seus advogados, ou somente a estes, em casos nos quais 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preservação do direito à intimidade do interessado no sigilo não prejudique o interesse público à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informação;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requerimento da parte, ou do Ministério Público quando lhe couber intervir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no processo, desconsiderá-la para que os efeitos de certas e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determinadas relações de obrigações sejam estendidos aos bens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particulares de administradores ou de sócios da pessoa jurídica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beneficiados direta ou indiretamente pelo abuso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4A29F7C4" w14:textId="7E7ABC20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55. Dessa forma, para o deferimento do incidente, há que se verificar no caso concreto provas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robustas de que exista abuso da personalidade jurídica, seja pelo desvio de sua finalidade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pela confusão patrimonial entre a pessoa jurídica e a natural de sócio que dela participe.</w:t>
      </w:r>
    </w:p>
    <w:p w14:paraId="4B7CE0C6" w14:textId="4341F839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56. De outro giro, mesmo se houvesse na presente demanda algum indício capaz de ensejar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 quebra do sigilo bancário e fiscal da pessoa jurídica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tais medidas não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poderiam ser deferidas nestes autos, por se tratar de via inadequada para tal, visto que estaria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 desatenção ao procedimento adequado prescrito pelo Código de Processo Civil.</w:t>
      </w:r>
    </w:p>
    <w:p w14:paraId="0B99404E" w14:textId="7F061A8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57. Isso porque o pedido de desconsideração inversa da personalidade jurídica é incidente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processual que obedece a regramento próprio, nos termos do artigo 133 e seguintes do Código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Processo Civil, o que não se apresenta no presente caso. Senão, veja-se:</w:t>
      </w:r>
    </w:p>
    <w:p w14:paraId="3A063C5E" w14:textId="6837C4D0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EXECUÇÃO DE TÍTULO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EXTRAJUDICIAL -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- SIMPLES PETIÇÃO - VIA INADEQUADA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NECESSIDADE DE INSTAURAÇÃO DE INCIDENTE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INTELIGÊNCIA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DOS ARTIGOS 133 E SEGUINTES DO CPC/15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Os artigos 133 e seguintes do novo CPC estabelecem as regras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 processamento do incidente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Não cabe o exame do pedido de desconsideração da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quando este é formulado por simples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petição nos autos da ação originária, não respeitando a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processual adequada prevista nos citados artigos do novo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CPC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1.0687.13.000794-5/001,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Des. Evandro Lopes da Costa Teixeira, 17ª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CÍVEL, julgamento em 02/08/2018, publicação da súmula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14/08/2018) (grifou-se)</w:t>
      </w:r>
    </w:p>
    <w:p w14:paraId="75F95371" w14:textId="6D55CCD9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DE INDENIZAÇÃO POR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DANOS MORAIS - CUMPRIMENTO DE SENTENÇA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VIA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INADEQUADA - NECESSIDADE DE INSTAURAÇÃO DE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INTELIGÊNCIA DOS ARTIGOS 133 E SEGUINTES DO CPC/2015.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Segundo o disposto nos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. 133 e seguintes do Código de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Civil de 2015, o pedido de desconsideração da personalidade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jurídica deve ser realizado por meio de procedimento específico,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em incidente apartado, motivo pelo qual descabe a análise desta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questão, eis que formulada mediante petição simples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Agravo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de Instrumento-Cv 1.0672.12.005525-2/001, Relator Des. Arnaldo Maciel, 18ª CÂMARA CÍVEL, julgamento em 09/08/2016,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publicação da súmula em 19/08/2016) (grifou-se)</w:t>
      </w:r>
    </w:p>
    <w:p w14:paraId="35315621" w14:textId="3B1B5DD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58. Finalmente, ainda no tocante ao tema da desconsideração inversa da personalidade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jurídica, cumpre destacar, que, apesar de seguir procedimento próprio, pressupondo abuso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direito, consubstanciado pelo desvio de finalidade da pessoa jurídica ou pela confusão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patrimonial, não se pode olvidar que “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se trata de medida excepcional</w:t>
      </w:r>
      <w:r w:rsidRPr="002854FE">
        <w:rPr>
          <w:rFonts w:ascii="Times New Roman" w:hAnsi="Times New Roman" w:cs="Times New Roman"/>
          <w:sz w:val="24"/>
          <w:szCs w:val="24"/>
        </w:rPr>
        <w:t>”, que não dispensa, por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isso mesmo, a necessidade do devido contraditório.</w:t>
      </w:r>
    </w:p>
    <w:p w14:paraId="6DAFC6E0" w14:textId="0B6D656E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59. Não por acaso é que o diploma processual civil prevê que nos casos em que há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desconsideração inversa da personalidade jurídica, é imprescindível que se oportunize ao polo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passivo do incidente o pleno direito à ampla defesa, justamente pelo caráter excepcional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extremado da medida, conforme delineado pelo art. 135 do CPC</w:t>
      </w:r>
      <w:r w:rsidR="005A5D9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A5D91">
        <w:rPr>
          <w:rFonts w:ascii="Times New Roman" w:hAnsi="Times New Roman" w:cs="Times New Roman"/>
          <w:sz w:val="24"/>
          <w:szCs w:val="24"/>
        </w:rPr>
        <w:t>.</w:t>
      </w:r>
    </w:p>
    <w:p w14:paraId="4975DDD6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60. De tal maneira, o eminente processualista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Fredie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 Didier Jr. leciona: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C8062" w14:textId="279B8757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Instaurado o incidente, o terceiro será citado para manifestar-se 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requerer as provas cabíveis, em quinze dias (art. 135, CPC). Com essa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regra, concretiza-se o princípio do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contraditório. Conforme sempre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defendemos neste curso, não é possível desconsiderar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personalidade jurídica sem a observância do princípio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contraditório. O dispositivo encerra, assim, antiga controvérsia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60E88" w14:textId="683455E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61. Nesse linear é o entendimento d</w:t>
      </w:r>
      <w:r w:rsidR="005A5D91">
        <w:rPr>
          <w:rFonts w:ascii="Times New Roman" w:hAnsi="Times New Roman" w:cs="Times New Roman"/>
          <w:sz w:val="24"/>
          <w:szCs w:val="24"/>
        </w:rPr>
        <w:t>o</w:t>
      </w:r>
      <w:r w:rsidRPr="0028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Tribunal de Justiça:</w:t>
      </w:r>
    </w:p>
    <w:p w14:paraId="008470AD" w14:textId="2B30B0F6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INCIDENTE DE DESCONSIDERAÇÃO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PERSONALIDADE JURIDICA - CITAÇÃO PRÉVIA DO SÓCIO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NECESSIDADE - INTELIGÊNCIA DO ARTIGO 135 DO CPC.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- Nos termos do artigo 135 do CPC, para a regular formação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incidente, a citação dos sócios para que respondam nos autos 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indispensável, possibilitando a ampla defesa e 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 Instrumento-Cv 1.0441.17.003936-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2/001, Relator Des. Pedro Aleixo, 16ª CÂMARA CÍVEL,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julgamento em 27/03/2019, publicação da súmula em 29/03/2019)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(grifou-se)</w:t>
      </w:r>
    </w:p>
    <w:p w14:paraId="5A5185F2" w14:textId="3D8E95FB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AGRAVO DE INSTRUMENTO - AÇÃO MONITÓRIA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INCIDENTE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PREVISTO NOS ARTS. 133 A 137 DO NOVO CPC - AUSÊNCIA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CITAÇÃO DOS SÓCIOS DA PESSOA JURÍDICA - NECESSIDADE -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OBSERVÂNCIA DOS PRINCÍPIOS DO DEVIDO PROCESSO LEGAL,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DA AMPLA DEFESA E DO CONTRADITÓRIO - DECISÃO CASSADA.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desconsideração da personalidade jurídica está prevista no art. 50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Código Civil, e estabelece que os efeitos de certas relações obrigacionais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possam ser estendidos aos sócios de pessoa jurídica. O Legislador,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observando os princípios constitucionais da ampla defesa e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contraditório (art. 5°, inciso LV da CRFB), concebeu no Novo CPC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um procedimento indispensável antes de se deferir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desconsideração da personalidade jurídica, conforme os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. 133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137. A observância do princípio constitucional do devido processo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legal, bem como o art. 135 do NCPC impõem a citação dos sócios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da pessoa jurídica atingida pela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disregard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doctrine</w:t>
      </w:r>
      <w:proofErr w:type="spellEnd"/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antes 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deferimento da referida medida excepcional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Instrumento-Cv 1.0372.09.044930-0/001, Relator Des. Aparecida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Grossi, 16ª CÂMARA CÍVEL, julgamento em 02/08/2017, publicação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súmula em 11/08/2017)</w:t>
      </w:r>
    </w:p>
    <w:p w14:paraId="37A00903" w14:textId="42DF30DE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62. Em suma, tem-se que a quebra de sigilo bancário e fiscal, mormente de pessoa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jurídica estranha à lide, em sede de tutela de urgência,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inaudita altera parte</w:t>
      </w:r>
      <w:r w:rsidRPr="002854FE">
        <w:rPr>
          <w:rFonts w:ascii="Times New Roman" w:hAnsi="Times New Roman" w:cs="Times New Roman"/>
          <w:sz w:val="24"/>
          <w:szCs w:val="24"/>
        </w:rPr>
        <w:t xml:space="preserve">, é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 xml:space="preserve">medida 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extremamente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gravosa e excepcional, a depender de indícios robustos de abuso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personalidade jurídica, pois que desafiadora da garantia constitucional do sigilo de dados,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bem como da proteção concedida pela Lei Complementar nº 105/2001.</w:t>
      </w:r>
    </w:p>
    <w:p w14:paraId="6C352972" w14:textId="77777777" w:rsidR="005A5D91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63. Igualmente nesse sentido, a jurisprudência deste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. TJMG: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2016E" w14:textId="1CFCB7E5" w:rsidR="002854FE" w:rsidRPr="002854FE" w:rsidRDefault="005A5D91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MANDADO DE SEGURANÇA. AÇÃO DE ALIMENTOS. QUEBRA DE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SIGILO BANCÁRIO E FISCAL. MEDIDA EXCEPCIONAL. TERCEIROS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ESTRANHOS AO PROCESSO. FALTA DE CAUSA JUSTIFICADA. ATO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JUDICIAL NÃO MOTIVADO. ILEGALIDADE DA ORDEM.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 sigilo de informações bancárias e fiscais é regra e pode ser reduzido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suspenso apenas em situações excepcionais devidamente justificadas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e comprovadas. A pessoa física do demandado no processo de alimentos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não deve ser confundida com as pessoas jurídicas das quais é sócio. É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ilegal o ato judicial que determina a requisição de informações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bancárias e fiscais das empresas quando não há provas concretas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ou indícios fortes de que o sigilo acarreta a ocultação de elementos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indispensáveis à solução da causa. Concedida a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4FE" w:rsidRPr="005A5D91">
        <w:rPr>
          <w:rFonts w:ascii="Times New Roman" w:hAnsi="Times New Roman" w:cs="Times New Roman"/>
          <w:i/>
          <w:iCs/>
          <w:sz w:val="24"/>
          <w:szCs w:val="24"/>
        </w:rPr>
        <w:t>segurança</w:t>
      </w:r>
      <w:r w:rsidR="002854FE" w:rsidRPr="0028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 (TJMG - Mandado de Segurança 1.0000.10.009079-4/000,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>Relator (a): Des. (a) Almeida Melo, 4ª CÂMARA CÍVEL, julgamento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E" w:rsidRPr="002854FE">
        <w:rPr>
          <w:rFonts w:ascii="Times New Roman" w:hAnsi="Times New Roman" w:cs="Times New Roman"/>
          <w:sz w:val="24"/>
          <w:szCs w:val="24"/>
        </w:rPr>
        <w:t xml:space="preserve">31/03/2011, publicação da súmula em 06/04/2011) </w:t>
      </w:r>
    </w:p>
    <w:p w14:paraId="5CC8C7A7" w14:textId="65723592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64. Contudo, Exas., nota-se no presente caso, que o d. Juízo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854FE">
        <w:rPr>
          <w:rFonts w:ascii="Times New Roman" w:hAnsi="Times New Roman" w:cs="Times New Roman"/>
          <w:sz w:val="24"/>
          <w:szCs w:val="24"/>
        </w:rPr>
        <w:t xml:space="preserve"> não se atentou para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que preleciona a sistemática do Código de Processo Civil sobre o tema, tendo em vista que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deferimento liminar da quebra de sigilo bancário e fiscal da empresa familiar foi efetivado sem</w:t>
      </w:r>
    </w:p>
    <w:p w14:paraId="26E8326C" w14:textId="228AC906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lastRenderedPageBreak/>
        <w:t>qualquer comunicação às três sócias, ora Agravantes, que ficaram impossibilitadas de se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defenderem nos termos legais, o que não se pode admitir.</w:t>
      </w:r>
    </w:p>
    <w:p w14:paraId="69266C6B" w14:textId="45F8AC17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65. À vista de tudo que foi delineado até aqui, conclui-se que é latente a necessidade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reforma da decisão objurgada, visto que a quebra do sigilo bancário do de cujus e da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empresa “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” foi deferida em um contexto no qual não se vislumbra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presença de quaisquer indícios substanciosos que apontem a ocorrência de ilícitos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capazes de autorizar à violação do direito fundamental consubstanciado pela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inviolabilidade da intimidade. Ao contrário, tais medidas foram deferidas sem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participação do polo passivo, em clara ofensa aos princípios constitucionais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contraditório e ampla defesa.</w:t>
      </w:r>
    </w:p>
    <w:p w14:paraId="5C79014D" w14:textId="55144CD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66. Ante o exposto, considerando-se a ausência de qualquer substrato fático-jurídico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possibilite a excepcional efetivação de medida tão drástica quanto à quebra do sigilo bancário 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fiscal da pessoa jurídica estranha à lide, e tendo em vista o contexto em que houve o deferimento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tais medidas, requer a imediata reforma da decisão agravada para que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determinação de pesquisas bancárias e fiscais atreladas ao de cujus e à empresa familiar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.”.</w:t>
      </w:r>
    </w:p>
    <w:p w14:paraId="422DD516" w14:textId="458A3BE2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IV. DO CUMPRIMENTO DOS REQUISITOS PARA CONCESSÃO DA TUTELA DE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URGÊNCIA - DA ANTECIPAÇÃO DA TUTELA RECURSAL</w:t>
      </w:r>
    </w:p>
    <w:p w14:paraId="326B8C8B" w14:textId="2F7115BD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67. O legislador estabeleceu, nos exatos termos do art. 300 do Código de Processo Civil,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concessão da tutela de urgência uma vez que se façam presentes tanto os elementos que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evidenciam a probabilidade do direito da parte, quanto o perigo de dano ou risco ao resultado útil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do processo,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:</w:t>
      </w:r>
    </w:p>
    <w:p w14:paraId="4013EBDF" w14:textId="2FA9BA3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5D91">
        <w:rPr>
          <w:rFonts w:ascii="Times New Roman" w:hAnsi="Times New Roman" w:cs="Times New Roman"/>
          <w:i/>
          <w:iCs/>
          <w:sz w:val="24"/>
          <w:szCs w:val="24"/>
        </w:rPr>
        <w:t>Art. 300. A tutela de urgência será concedida quando houver elementos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que evidenciem a probabilidade do direito e o perigo de dano ou o risco</w:t>
      </w:r>
      <w:r w:rsidR="005A5D91"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ao resultado útil do processo</w:t>
      </w:r>
      <w:r w:rsidRPr="002854FE">
        <w:rPr>
          <w:rFonts w:ascii="Times New Roman" w:hAnsi="Times New Roman" w:cs="Times New Roman"/>
          <w:sz w:val="24"/>
          <w:szCs w:val="24"/>
        </w:rPr>
        <w:t>.</w:t>
      </w:r>
    </w:p>
    <w:p w14:paraId="256E9153" w14:textId="6BB1B66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68. Por sua vez, dispõe o art. 1.019, I, da Lei Processual, que o Desembargador Relator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poderá atribuir efeito suspensivo ao recurso ou deferir, em antecipação de tutela, total ou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parcialmente, a pretensão recursal, comunicando ao juiz sua decisão.</w:t>
      </w:r>
    </w:p>
    <w:p w14:paraId="7ADD866E" w14:textId="3482183F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69.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, os requisitos para a concessão da antecipação de tutela, em caráter recursal,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são evidentes. Isso, pois, há aqui a probabilidade do direito das Agravantes, ante a necessária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do que prevê a legislação processual civil acerca da ordem de nomeação 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inventariante (art. 617 do Código de Processo Civil), bem como quanto à imperativa proteção ao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direito fundamental constitucional de inviolabilidade da intimidade, uma vez ausentes quaisquer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fundamentos que justifiquem diligência tão invasiva quanto à quebra do sigilo bancário e fiscal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do falecido e da pessoa jurídica, conforme amplamente demonstrado neste recurso.</w:t>
      </w:r>
    </w:p>
    <w:p w14:paraId="57820915" w14:textId="77C226D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70. Some-se a isso o manifesto periculum in mora, pois que o atual Inventariante, ora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Agravado, uma vez exercendo tal múnus, passará a praticar atos que poderão prejudicar 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natural deslinde do feito e, consequentemente, a futura partilha dos bens do espólio. Ademais,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uma vez efetivadas as medidas de quebra de sigilo bancário e fiscal do de cujus e da empresa</w:t>
      </w:r>
    </w:p>
    <w:p w14:paraId="5D1F5B5B" w14:textId="64CF02B9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 o direito à inviolabilidade da intimidade de tais pessoas estaria ofendido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 forma permanente, não sendo possível voltar atrás na ocultação de informações já trazidas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ao público.</w:t>
      </w:r>
    </w:p>
    <w:p w14:paraId="4B135AA9" w14:textId="19D2FD34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71. Portanto, pugnam as Agravantes a este 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 xml:space="preserve">. Tribunal de Justiça de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 xml:space="preserve"> que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concedida a antecipação da tutela recursal pretendida no presente agravo, com determinação,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por comando monocrático do Exmo. Sr. Desembargador Relator para que,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A5D91">
        <w:rPr>
          <w:rFonts w:ascii="Times New Roman" w:hAnsi="Times New Roman" w:cs="Times New Roman"/>
          <w:i/>
          <w:iCs/>
          <w:sz w:val="24"/>
          <w:szCs w:val="24"/>
        </w:rPr>
        <w:t>limini</w:t>
      </w:r>
      <w:proofErr w:type="spellEnd"/>
      <w:r w:rsidRPr="005A5D91">
        <w:rPr>
          <w:rFonts w:ascii="Times New Roman" w:hAnsi="Times New Roman" w:cs="Times New Roman"/>
          <w:i/>
          <w:iCs/>
          <w:sz w:val="24"/>
          <w:szCs w:val="24"/>
        </w:rPr>
        <w:t xml:space="preserve"> litis</w:t>
      </w:r>
      <w:r w:rsidRPr="002854FE">
        <w:rPr>
          <w:rFonts w:ascii="Times New Roman" w:hAnsi="Times New Roman" w:cs="Times New Roman"/>
          <w:sz w:val="24"/>
          <w:szCs w:val="24"/>
        </w:rPr>
        <w:t>, seja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alterada a inventariança, destituindo o atual Inventariante, ora Agravado, e nomeando como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Inventariante </w:t>
      </w:r>
      <w:r w:rsidRPr="002854FE">
        <w:rPr>
          <w:rFonts w:ascii="Times New Roman" w:hAnsi="Times New Roman" w:cs="Times New Roman"/>
          <w:sz w:val="24"/>
          <w:szCs w:val="24"/>
        </w:rPr>
        <w:lastRenderedPageBreak/>
        <w:t xml:space="preserve">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 observância à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ordem legal prevista no art. 617 do Código de Processo Civil, bem como seja cancelada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determinação de quebra do sigilo bancário e fiscal do </w:t>
      </w:r>
      <w:r w:rsidRPr="005A5D91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854FE">
        <w:rPr>
          <w:rFonts w:ascii="Times New Roman" w:hAnsi="Times New Roman" w:cs="Times New Roman"/>
          <w:sz w:val="24"/>
          <w:szCs w:val="24"/>
        </w:rPr>
        <w:t xml:space="preserve"> 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 e jurídicos que autorizem medida tão drástica.</w:t>
      </w:r>
    </w:p>
    <w:p w14:paraId="4089EF58" w14:textId="329685A5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V. PEDIDOS</w:t>
      </w:r>
    </w:p>
    <w:p w14:paraId="06AFD6AB" w14:textId="66DFCBB3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="005A5D91" w:rsidRPr="005A5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5A5D91" w:rsidRPr="005A5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854FE">
        <w:rPr>
          <w:rFonts w:ascii="Times New Roman" w:hAnsi="Times New Roman" w:cs="Times New Roman"/>
          <w:sz w:val="24"/>
          <w:szCs w:val="24"/>
        </w:rPr>
        <w:t>, REQUEREM:</w:t>
      </w:r>
    </w:p>
    <w:p w14:paraId="40F81A58" w14:textId="1C22F4BB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a) preenchidos os requisitos dos artigos 1.019 e 300 do CPC,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seja antecipada a tutela recursal, desde já, liminarmente, para (i) alterar a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inventariança, de modo a destituir o atual Inventariante, ora Agravado, e nomear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 xml:space="preserve">como Inventariante o cônjuge supérstite, Sra. </w:t>
      </w:r>
      <w:r w:rsidR="005A5D91">
        <w:rPr>
          <w:rFonts w:ascii="Times New Roman" w:hAnsi="Times New Roman" w:cs="Times New Roman"/>
          <w:sz w:val="24"/>
          <w:szCs w:val="24"/>
        </w:rPr>
        <w:t>...</w:t>
      </w:r>
      <w:r w:rsidRPr="002854FE">
        <w:rPr>
          <w:rFonts w:ascii="Times New Roman" w:hAnsi="Times New Roman" w:cs="Times New Roman"/>
          <w:sz w:val="24"/>
          <w:szCs w:val="24"/>
        </w:rPr>
        <w:t>, ora Agravante,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observância à ordem legal prevista no art. 617 do Código de Processo Civil, bem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como (</w:t>
      </w:r>
      <w:proofErr w:type="spellStart"/>
      <w:r w:rsidRPr="002854F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54FE">
        <w:rPr>
          <w:rFonts w:ascii="Times New Roman" w:hAnsi="Times New Roman" w:cs="Times New Roman"/>
          <w:sz w:val="24"/>
          <w:szCs w:val="24"/>
        </w:rPr>
        <w:t>) cancelar a determinação de quebra do sigilo bancário e fiscal do de cujus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da sociedade empresária “</w:t>
      </w:r>
      <w:r w:rsidR="005A5D91">
        <w:rPr>
          <w:rFonts w:ascii="Times New Roman" w:hAnsi="Times New Roman" w:cs="Times New Roman"/>
          <w:sz w:val="24"/>
          <w:szCs w:val="24"/>
        </w:rPr>
        <w:t>..</w:t>
      </w:r>
      <w:r w:rsidRPr="002854FE">
        <w:rPr>
          <w:rFonts w:ascii="Times New Roman" w:hAnsi="Times New Roman" w:cs="Times New Roman"/>
          <w:sz w:val="24"/>
          <w:szCs w:val="24"/>
        </w:rPr>
        <w:t>.”, por falta de substratos fáticos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e jurídicos que autorizem medida tão drástica;</w:t>
      </w:r>
    </w:p>
    <w:p w14:paraId="640130DD" w14:textId="49BE8D98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b)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>o final, seja totalmente PROVIDO o presente agravo, para reformar a r.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decisão de primeira instância, confirmando-se a liminar acima pleiteada;</w:t>
      </w:r>
    </w:p>
    <w:p w14:paraId="32C36098" w14:textId="49A0649C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c) </w:t>
      </w:r>
      <w:r w:rsidR="005A5D91">
        <w:rPr>
          <w:rFonts w:ascii="Times New Roman" w:hAnsi="Times New Roman" w:cs="Times New Roman"/>
          <w:sz w:val="24"/>
          <w:szCs w:val="24"/>
        </w:rPr>
        <w:t>s</w:t>
      </w:r>
      <w:r w:rsidRPr="002854FE">
        <w:rPr>
          <w:rFonts w:ascii="Times New Roman" w:hAnsi="Times New Roman" w:cs="Times New Roman"/>
          <w:sz w:val="24"/>
          <w:szCs w:val="24"/>
        </w:rPr>
        <w:t>ejam concedidos os benefícios da assistência judiciária gratuita às Agravantes,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considerando que nenhuma delas têm condições financeiras de suportar os ônus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processuais sem prejuízo da própria sobrevivência, conforme atestado em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declaração de hipossuficiência em anexo;</w:t>
      </w:r>
    </w:p>
    <w:p w14:paraId="7A5DCBEB" w14:textId="25461408" w:rsidR="002854FE" w:rsidRPr="002854FE" w:rsidRDefault="002854FE" w:rsidP="002854FE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 xml:space="preserve">d) </w:t>
      </w:r>
      <w:r w:rsidR="005A5D91">
        <w:rPr>
          <w:rFonts w:ascii="Times New Roman" w:hAnsi="Times New Roman" w:cs="Times New Roman"/>
          <w:sz w:val="24"/>
          <w:szCs w:val="24"/>
        </w:rPr>
        <w:t>a</w:t>
      </w:r>
      <w:r w:rsidRPr="002854FE">
        <w:rPr>
          <w:rFonts w:ascii="Times New Roman" w:hAnsi="Times New Roman" w:cs="Times New Roman"/>
          <w:sz w:val="24"/>
          <w:szCs w:val="24"/>
        </w:rPr>
        <w:t xml:space="preserve"> intimação do Agravado </w:t>
      </w:r>
      <w:proofErr w:type="gramStart"/>
      <w:r w:rsidRPr="002854FE">
        <w:rPr>
          <w:rFonts w:ascii="Times New Roman" w:hAnsi="Times New Roman" w:cs="Times New Roman"/>
          <w:sz w:val="24"/>
          <w:szCs w:val="24"/>
        </w:rPr>
        <w:t>para, se</w:t>
      </w:r>
      <w:proofErr w:type="gramEnd"/>
      <w:r w:rsidRPr="002854FE">
        <w:rPr>
          <w:rFonts w:ascii="Times New Roman" w:hAnsi="Times New Roman" w:cs="Times New Roman"/>
          <w:sz w:val="24"/>
          <w:szCs w:val="24"/>
        </w:rPr>
        <w:t xml:space="preserve"> quiser, apresentar contraminuta ao presente</w:t>
      </w:r>
      <w:r w:rsidR="005A5D91">
        <w:rPr>
          <w:rFonts w:ascii="Times New Roman" w:hAnsi="Times New Roman" w:cs="Times New Roman"/>
          <w:sz w:val="24"/>
          <w:szCs w:val="24"/>
        </w:rPr>
        <w:t xml:space="preserve"> </w:t>
      </w:r>
      <w:r w:rsidRPr="002854FE">
        <w:rPr>
          <w:rFonts w:ascii="Times New Roman" w:hAnsi="Times New Roman" w:cs="Times New Roman"/>
          <w:sz w:val="24"/>
          <w:szCs w:val="24"/>
        </w:rPr>
        <w:t>recurso.</w:t>
      </w:r>
    </w:p>
    <w:p w14:paraId="7B64FCCA" w14:textId="77777777" w:rsidR="002854FE" w:rsidRPr="002854FE" w:rsidRDefault="002854FE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54FE">
        <w:rPr>
          <w:rFonts w:ascii="Times New Roman" w:hAnsi="Times New Roman" w:cs="Times New Roman"/>
          <w:sz w:val="24"/>
          <w:szCs w:val="24"/>
        </w:rPr>
        <w:t>Pede deferimento.</w:t>
      </w:r>
    </w:p>
    <w:p w14:paraId="49631CCF" w14:textId="36DAE0A4" w:rsid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5E8B1C6" w14:textId="061AAEAD" w:rsidR="005A5D91" w:rsidRPr="002854FE" w:rsidRDefault="005A5D91" w:rsidP="005A5D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A5D91" w:rsidRPr="00285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A7A9" w14:textId="77777777" w:rsidR="000E351A" w:rsidRDefault="000E351A" w:rsidP="00DE71D4">
      <w:pPr>
        <w:spacing w:after="0" w:line="240" w:lineRule="auto"/>
      </w:pPr>
      <w:r>
        <w:separator/>
      </w:r>
    </w:p>
  </w:endnote>
  <w:endnote w:type="continuationSeparator" w:id="0">
    <w:p w14:paraId="3B1C32C7" w14:textId="77777777" w:rsidR="000E351A" w:rsidRDefault="000E351A" w:rsidP="00D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994B" w14:textId="77777777" w:rsidR="000E351A" w:rsidRDefault="000E351A" w:rsidP="00DE71D4">
      <w:pPr>
        <w:spacing w:after="0" w:line="240" w:lineRule="auto"/>
      </w:pPr>
      <w:r>
        <w:separator/>
      </w:r>
    </w:p>
  </w:footnote>
  <w:footnote w:type="continuationSeparator" w:id="0">
    <w:p w14:paraId="4D53057D" w14:textId="77777777" w:rsidR="000E351A" w:rsidRDefault="000E351A" w:rsidP="00DE71D4">
      <w:pPr>
        <w:spacing w:after="0" w:line="240" w:lineRule="auto"/>
      </w:pPr>
      <w:r>
        <w:continuationSeparator/>
      </w:r>
    </w:p>
  </w:footnote>
  <w:footnote w:id="1">
    <w:p w14:paraId="7D9F1520" w14:textId="06E4353F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615 - O requerimento de inventário e de partilha incumbe a quem estiver na posse e na administração do espólio, no prazo estabelecido no art. 611. deste, é medida que se impõe, visto que o referido dispositivo legal se amolda perfeitamente ao caso sub judice.</w:t>
      </w:r>
    </w:p>
  </w:footnote>
  <w:footnote w:id="2">
    <w:p w14:paraId="55769E02" w14:textId="77E5A921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Artigo do Código de Processo Civil de 1973, correspondente ao art. 617 do atual CPC.</w:t>
      </w:r>
      <w:r w:rsidRPr="005A5D91">
        <w:rPr>
          <w:rFonts w:ascii="Times New Roman" w:hAnsi="Times New Roman" w:cs="Times New Roman"/>
        </w:rPr>
        <w:cr/>
      </w:r>
    </w:p>
  </w:footnote>
  <w:footnote w:id="3">
    <w:p w14:paraId="1D594B58" w14:textId="45F03F45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373. O ônus da prova incumbe: I - ao autor, quanto ao fato constitutivo de seu direito; (...)</w:t>
      </w:r>
    </w:p>
  </w:footnote>
  <w:footnote w:id="4">
    <w:p w14:paraId="2511C281" w14:textId="51D4CE24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93, inciso IX, Constituição Federal: todos os julgamentos dos órgãos do Poder Judiciário serão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públicos, e fundamentadas todas as decisões, sob pena de nulidade, podendo a lei limitar a presença, em determinados atos,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às próprias partes e a seus advogados, ou somente a estes, em casos nos quais a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preservação do direito à intimidade do interessado no sigilo não prejudique o interesse público à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informação;</w:t>
      </w:r>
    </w:p>
  </w:footnote>
  <w:footnote w:id="5">
    <w:p w14:paraId="7ED8EFB8" w14:textId="2DAD7B43" w:rsidR="005A5D91" w:rsidRPr="005A5D91" w:rsidRDefault="005A5D91" w:rsidP="005A5D9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A5D91">
        <w:rPr>
          <w:rStyle w:val="Refdenotaderodap"/>
          <w:rFonts w:ascii="Times New Roman" w:hAnsi="Times New Roman" w:cs="Times New Roman"/>
        </w:rPr>
        <w:footnoteRef/>
      </w:r>
      <w:r w:rsidRPr="005A5D91">
        <w:rPr>
          <w:rFonts w:ascii="Times New Roman" w:hAnsi="Times New Roman" w:cs="Times New Roman"/>
        </w:rPr>
        <w:t xml:space="preserve"> Art. 135. Instaurado o incidente, o sócio ou a pessoa jurídica será citado para manifestar-se e requerer</w:t>
      </w:r>
      <w:r>
        <w:rPr>
          <w:rFonts w:ascii="Times New Roman" w:hAnsi="Times New Roman" w:cs="Times New Roman"/>
        </w:rPr>
        <w:t xml:space="preserve"> </w:t>
      </w:r>
      <w:r w:rsidRPr="005A5D91">
        <w:rPr>
          <w:rFonts w:ascii="Times New Roman" w:hAnsi="Times New Roman" w:cs="Times New Roman"/>
        </w:rPr>
        <w:t>as provas cabíveis no prazo de 15 (quinze) dias.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E"/>
    <w:rsid w:val="000E351A"/>
    <w:rsid w:val="002854FE"/>
    <w:rsid w:val="003B61D5"/>
    <w:rsid w:val="003E5DF1"/>
    <w:rsid w:val="005A5D91"/>
    <w:rsid w:val="00804B49"/>
    <w:rsid w:val="00974756"/>
    <w:rsid w:val="00A12E40"/>
    <w:rsid w:val="00B3274C"/>
    <w:rsid w:val="00D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A1BE"/>
  <w15:chartTrackingRefBased/>
  <w15:docId w15:val="{8A660D3C-DA04-4E85-9DFE-D5A8F168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71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71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3A77-E4E6-43A9-A708-EE97E39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6406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 Gieseke</cp:lastModifiedBy>
  <cp:revision>2</cp:revision>
  <dcterms:created xsi:type="dcterms:W3CDTF">2024-01-24T22:04:00Z</dcterms:created>
  <dcterms:modified xsi:type="dcterms:W3CDTF">2024-01-24T22:04:00Z</dcterms:modified>
</cp:coreProperties>
</file>